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adjustRightInd w:val="0"/>
        <w:snapToGrid w:val="0"/>
        <w:spacing w:line="360" w:lineRule="auto"/>
        <w:jc w:val="right"/>
        <w:rPr>
          <w:rFonts w:ascii="仿宋" w:hAnsi="仿宋" w:eastAsia="仿宋" w:cs="仿宋"/>
          <w:color w:val="auto"/>
          <w:highlight w:val="none"/>
        </w:rPr>
      </w:pPr>
    </w:p>
    <w:p>
      <w:pPr>
        <w:spacing w:line="360" w:lineRule="auto"/>
        <w:jc w:val="center"/>
        <w:rPr>
          <w:rFonts w:ascii="仿宋" w:hAnsi="仿宋" w:eastAsia="仿宋" w:cs="仿宋"/>
          <w:b/>
          <w:color w:val="auto"/>
          <w:sz w:val="36"/>
          <w:szCs w:val="36"/>
          <w:highlight w:val="none"/>
        </w:rPr>
      </w:pPr>
    </w:p>
    <w:p>
      <w:pPr>
        <w:adjustRightInd w:val="0"/>
        <w:snapToGrid w:val="0"/>
        <w:spacing w:line="360" w:lineRule="auto"/>
        <w:jc w:val="center"/>
        <w:rPr>
          <w:rFonts w:ascii="仿宋" w:hAnsi="仿宋" w:eastAsia="仿宋" w:cs="仿宋"/>
          <w:color w:val="auto"/>
          <w:sz w:val="48"/>
          <w:highlight w:val="none"/>
        </w:rPr>
      </w:pPr>
    </w:p>
    <w:p>
      <w:pPr>
        <w:adjustRightInd w:val="0"/>
        <w:snapToGrid w:val="0"/>
        <w:spacing w:line="360" w:lineRule="auto"/>
        <w:jc w:val="center"/>
        <w:rPr>
          <w:rFonts w:ascii="仿宋" w:hAnsi="仿宋" w:eastAsia="仿宋" w:cs="仿宋"/>
          <w:color w:val="auto"/>
          <w:sz w:val="48"/>
          <w:highlight w:val="none"/>
        </w:rPr>
      </w:pPr>
    </w:p>
    <w:p>
      <w:pPr>
        <w:adjustRightInd w:val="0"/>
        <w:snapToGrid w:val="0"/>
        <w:spacing w:line="360" w:lineRule="auto"/>
        <w:jc w:val="center"/>
        <w:rPr>
          <w:rFonts w:ascii="仿宋" w:hAnsi="仿宋" w:eastAsia="仿宋" w:cs="仿宋"/>
          <w:color w:val="auto"/>
          <w:sz w:val="48"/>
          <w:highlight w:val="none"/>
        </w:rPr>
      </w:pPr>
    </w:p>
    <w:p>
      <w:pPr>
        <w:adjustRightInd w:val="0"/>
        <w:snapToGrid w:val="0"/>
        <w:spacing w:line="360" w:lineRule="auto"/>
        <w:jc w:val="center"/>
        <w:rPr>
          <w:rFonts w:ascii="仿宋" w:hAnsi="仿宋" w:eastAsia="仿宋" w:cs="仿宋"/>
          <w:b/>
          <w:bCs/>
          <w:snapToGrid w:val="0"/>
          <w:color w:val="auto"/>
          <w:kern w:val="0"/>
          <w:sz w:val="84"/>
          <w:szCs w:val="84"/>
          <w:highlight w:val="none"/>
        </w:rPr>
      </w:pPr>
      <w:r>
        <w:rPr>
          <w:rFonts w:hint="eastAsia" w:ascii="仿宋" w:hAnsi="仿宋" w:eastAsia="仿宋" w:cs="仿宋"/>
          <w:b/>
          <w:bCs/>
          <w:snapToGrid w:val="0"/>
          <w:color w:val="auto"/>
          <w:kern w:val="0"/>
          <w:sz w:val="84"/>
          <w:szCs w:val="84"/>
          <w:highlight w:val="none"/>
        </w:rPr>
        <w:t>竞争性比选文件</w:t>
      </w:r>
    </w:p>
    <w:p>
      <w:pPr>
        <w:spacing w:line="480" w:lineRule="auto"/>
        <w:jc w:val="left"/>
        <w:rPr>
          <w:rFonts w:ascii="仿宋" w:hAnsi="仿宋" w:eastAsia="仿宋" w:cs="仿宋"/>
          <w:color w:val="auto"/>
          <w:sz w:val="30"/>
          <w:szCs w:val="30"/>
          <w:highlight w:val="none"/>
        </w:rPr>
      </w:pPr>
    </w:p>
    <w:p>
      <w:pPr>
        <w:spacing w:line="480" w:lineRule="auto"/>
        <w:jc w:val="left"/>
        <w:rPr>
          <w:rFonts w:ascii="仿宋" w:hAnsi="仿宋" w:eastAsia="仿宋" w:cs="仿宋"/>
          <w:color w:val="auto"/>
          <w:sz w:val="30"/>
          <w:szCs w:val="30"/>
          <w:highlight w:val="none"/>
        </w:rPr>
      </w:pPr>
    </w:p>
    <w:p>
      <w:pPr>
        <w:spacing w:line="480" w:lineRule="auto"/>
        <w:jc w:val="left"/>
        <w:rPr>
          <w:rFonts w:ascii="仿宋" w:hAnsi="仿宋" w:eastAsia="仿宋" w:cs="仿宋"/>
          <w:color w:val="auto"/>
          <w:sz w:val="30"/>
          <w:szCs w:val="30"/>
          <w:highlight w:val="none"/>
        </w:rPr>
      </w:pPr>
    </w:p>
    <w:p>
      <w:pPr>
        <w:widowControl/>
        <w:jc w:val="left"/>
        <w:rPr>
          <w:rFonts w:ascii="仿宋" w:hAnsi="仿宋" w:eastAsia="仿宋" w:cs="仿宋"/>
          <w:color w:val="auto"/>
          <w:sz w:val="30"/>
          <w:szCs w:val="30"/>
          <w:highlight w:val="none"/>
        </w:rPr>
      </w:pPr>
    </w:p>
    <w:p>
      <w:pPr>
        <w:jc w:val="center"/>
        <w:rPr>
          <w:rFonts w:hint="eastAsia" w:ascii="仿宋" w:hAnsi="仿宋" w:eastAsia="仿宋" w:cs="仿宋"/>
          <w:b/>
          <w:sz w:val="30"/>
          <w:szCs w:val="30"/>
          <w:highlight w:val="none"/>
          <w:lang w:eastAsia="zh-CN"/>
        </w:rPr>
      </w:pPr>
      <w:r>
        <w:rPr>
          <w:rFonts w:hint="eastAsia" w:ascii="仿宋" w:hAnsi="仿宋" w:eastAsia="仿宋" w:cs="仿宋"/>
          <w:b/>
          <w:color w:val="auto"/>
          <w:sz w:val="30"/>
          <w:szCs w:val="30"/>
          <w:highlight w:val="none"/>
        </w:rPr>
        <w:t>项目名称：</w:t>
      </w:r>
      <w:r>
        <w:rPr>
          <w:rFonts w:hint="eastAsia" w:ascii="仿宋" w:hAnsi="仿宋" w:eastAsia="仿宋" w:cs="仿宋"/>
          <w:b/>
          <w:sz w:val="30"/>
          <w:szCs w:val="30"/>
          <w:highlight w:val="none"/>
          <w:lang w:eastAsia="zh-CN"/>
        </w:rPr>
        <w:t>凤凰磁浮观光快线车站固定艺术装置设计、</w:t>
      </w:r>
    </w:p>
    <w:p>
      <w:pPr>
        <w:jc w:val="center"/>
        <w:rPr>
          <w:rFonts w:hint="eastAsia" w:ascii="仿宋" w:hAnsi="仿宋" w:eastAsia="仿宋" w:cs="仿宋"/>
          <w:b/>
          <w:color w:val="auto"/>
          <w:sz w:val="30"/>
          <w:szCs w:val="30"/>
          <w:highlight w:val="none"/>
          <w:lang w:val="en-US" w:eastAsia="zh-CN"/>
        </w:rPr>
      </w:pPr>
      <w:r>
        <w:rPr>
          <w:rFonts w:hint="eastAsia" w:ascii="仿宋" w:hAnsi="仿宋" w:eastAsia="仿宋" w:cs="仿宋"/>
          <w:b/>
          <w:sz w:val="30"/>
          <w:szCs w:val="30"/>
          <w:highlight w:val="none"/>
          <w:lang w:eastAsia="zh-CN"/>
        </w:rPr>
        <w:t>制作及安装</w:t>
      </w:r>
    </w:p>
    <w:p>
      <w:pPr>
        <w:spacing w:line="480" w:lineRule="auto"/>
        <w:ind w:firstLine="600" w:firstLineChars="20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 比 选 人：凤凰磁浮文化旅游有限责任公司</w:t>
      </w:r>
    </w:p>
    <w:p>
      <w:pPr>
        <w:spacing w:line="480" w:lineRule="auto"/>
        <w:jc w:val="center"/>
        <w:rPr>
          <w:rFonts w:ascii="仿宋" w:hAnsi="仿宋" w:eastAsia="仿宋" w:cs="仿宋"/>
          <w:b/>
          <w:color w:val="auto"/>
          <w:sz w:val="30"/>
          <w:szCs w:val="30"/>
          <w:highlight w:val="none"/>
        </w:rPr>
      </w:pPr>
    </w:p>
    <w:p>
      <w:pPr>
        <w:spacing w:line="480" w:lineRule="auto"/>
        <w:jc w:val="center"/>
        <w:rPr>
          <w:rFonts w:ascii="仿宋" w:hAnsi="仿宋" w:eastAsia="仿宋" w:cs="仿宋"/>
          <w:b/>
          <w:color w:val="auto"/>
          <w:sz w:val="30"/>
          <w:szCs w:val="30"/>
          <w:highlight w:val="none"/>
        </w:rPr>
      </w:pPr>
    </w:p>
    <w:p>
      <w:pPr>
        <w:spacing w:line="480" w:lineRule="auto"/>
        <w:jc w:val="center"/>
        <w:rPr>
          <w:rFonts w:ascii="仿宋" w:hAnsi="仿宋" w:eastAsia="仿宋" w:cs="仿宋"/>
          <w:b/>
          <w:color w:val="auto"/>
          <w:sz w:val="30"/>
          <w:szCs w:val="30"/>
          <w:highlight w:val="none"/>
        </w:rPr>
      </w:pPr>
    </w:p>
    <w:p>
      <w:pPr>
        <w:spacing w:line="480" w:lineRule="auto"/>
        <w:jc w:val="center"/>
        <w:rPr>
          <w:rFonts w:ascii="仿宋" w:hAnsi="仿宋" w:eastAsia="仿宋" w:cs="仿宋"/>
          <w:b/>
          <w:color w:val="auto"/>
          <w:sz w:val="30"/>
          <w:szCs w:val="30"/>
          <w:highlight w:val="none"/>
        </w:rPr>
      </w:pPr>
    </w:p>
    <w:p>
      <w:pPr>
        <w:spacing w:line="48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202</w:t>
      </w:r>
      <w:r>
        <w:rPr>
          <w:rFonts w:hint="eastAsia" w:ascii="仿宋" w:hAnsi="仿宋" w:eastAsia="仿宋" w:cs="仿宋"/>
          <w:b/>
          <w:color w:val="auto"/>
          <w:sz w:val="30"/>
          <w:szCs w:val="30"/>
          <w:highlight w:val="none"/>
          <w:lang w:val="en-US" w:eastAsia="zh-CN"/>
        </w:rPr>
        <w:t>2</w:t>
      </w:r>
      <w:r>
        <w:rPr>
          <w:rFonts w:hint="eastAsia" w:ascii="仿宋" w:hAnsi="仿宋" w:eastAsia="仿宋" w:cs="仿宋"/>
          <w:b/>
          <w:color w:val="auto"/>
          <w:sz w:val="30"/>
          <w:szCs w:val="30"/>
          <w:highlight w:val="none"/>
        </w:rPr>
        <w:t>年</w:t>
      </w:r>
      <w:r>
        <w:rPr>
          <w:rFonts w:hint="eastAsia" w:ascii="仿宋" w:hAnsi="仿宋" w:eastAsia="仿宋" w:cs="仿宋"/>
          <w:b/>
          <w:color w:val="auto"/>
          <w:sz w:val="30"/>
          <w:szCs w:val="30"/>
          <w:highlight w:val="none"/>
          <w:lang w:val="en-US" w:eastAsia="zh-CN"/>
        </w:rPr>
        <w:t>6</w:t>
      </w:r>
      <w:r>
        <w:rPr>
          <w:rFonts w:hint="eastAsia" w:ascii="仿宋" w:hAnsi="仿宋" w:eastAsia="仿宋" w:cs="仿宋"/>
          <w:b/>
          <w:color w:val="auto"/>
          <w:sz w:val="30"/>
          <w:szCs w:val="30"/>
          <w:highlight w:val="none"/>
        </w:rPr>
        <w:t>月</w:t>
      </w:r>
    </w:p>
    <w:p>
      <w:pPr>
        <w:widowControl/>
        <w:jc w:val="left"/>
        <w:rPr>
          <w:rFonts w:ascii="仿宋" w:hAnsi="仿宋" w:eastAsia="仿宋" w:cs="仿宋"/>
          <w:b/>
          <w:color w:val="auto"/>
          <w:sz w:val="30"/>
          <w:szCs w:val="30"/>
          <w:highlight w:val="none"/>
        </w:rPr>
      </w:pPr>
      <w:r>
        <w:rPr>
          <w:rFonts w:ascii="仿宋" w:hAnsi="仿宋" w:eastAsia="仿宋" w:cs="仿宋"/>
          <w:b/>
          <w:color w:val="auto"/>
          <w:sz w:val="30"/>
          <w:szCs w:val="30"/>
          <w:highlight w:val="none"/>
        </w:rPr>
        <w:br w:type="page"/>
      </w:r>
    </w:p>
    <w:p>
      <w:pPr>
        <w:pStyle w:val="25"/>
        <w:spacing w:line="360" w:lineRule="auto"/>
        <w:rPr>
          <w:rFonts w:ascii="仿宋" w:hAnsi="仿宋" w:eastAsia="仿宋" w:cs="仿宋"/>
          <w:bCs/>
          <w:color w:val="auto"/>
          <w:sz w:val="36"/>
          <w:szCs w:val="36"/>
          <w:highlight w:val="none"/>
        </w:rPr>
      </w:pPr>
    </w:p>
    <w:p>
      <w:pPr>
        <w:pStyle w:val="25"/>
        <w:spacing w:line="360" w:lineRule="auto"/>
        <w:rPr>
          <w:rFonts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目   录</w:t>
      </w:r>
    </w:p>
    <w:p>
      <w:pPr>
        <w:pStyle w:val="25"/>
        <w:tabs>
          <w:tab w:val="right" w:leader="dot" w:pos="8900"/>
          <w:tab w:val="clear" w:pos="9060"/>
        </w:tabs>
        <w:rPr>
          <w:rFonts w:ascii="仿宋_GB2312" w:hAnsi="仿宋" w:eastAsia="仿宋_GB2312" w:cs="仿宋"/>
          <w:b/>
          <w:color w:val="auto"/>
          <w:sz w:val="28"/>
          <w:szCs w:val="28"/>
          <w:highlight w:val="none"/>
        </w:rPr>
      </w:pPr>
      <w:bookmarkStart w:id="0" w:name="_Toc294162421"/>
      <w:bookmarkStart w:id="1" w:name="_Toc294206379"/>
    </w:p>
    <w:p>
      <w:pPr>
        <w:pStyle w:val="25"/>
        <w:tabs>
          <w:tab w:val="right" w:leader="dot" w:pos="8900"/>
          <w:tab w:val="clear" w:pos="9060"/>
        </w:tabs>
        <w:spacing w:line="480" w:lineRule="auto"/>
        <w:rPr>
          <w:rFonts w:ascii="仿宋_GB2312" w:hAnsi="仿宋" w:eastAsia="仿宋_GB2312" w:cs="仿宋"/>
          <w:color w:val="auto"/>
          <w:sz w:val="28"/>
          <w:szCs w:val="28"/>
          <w:highlight w:val="none"/>
        </w:rPr>
      </w:pPr>
      <w:r>
        <w:rPr>
          <w:rFonts w:hint="eastAsia" w:ascii="仿宋_GB2312" w:hAnsi="仿宋" w:eastAsia="仿宋_GB2312" w:cs="仿宋"/>
          <w:b/>
          <w:color w:val="auto"/>
          <w:sz w:val="28"/>
          <w:szCs w:val="28"/>
          <w:highlight w:val="none"/>
        </w:rPr>
        <w:fldChar w:fldCharType="begin"/>
      </w:r>
      <w:r>
        <w:rPr>
          <w:rFonts w:hint="eastAsia" w:ascii="仿宋_GB2312" w:hAnsi="仿宋" w:eastAsia="仿宋_GB2312" w:cs="仿宋"/>
          <w:b/>
          <w:color w:val="auto"/>
          <w:sz w:val="28"/>
          <w:szCs w:val="28"/>
          <w:highlight w:val="none"/>
        </w:rPr>
        <w:instrText xml:space="preserve"> TOC \o "1-3" \h \z \u </w:instrText>
      </w:r>
      <w:r>
        <w:rPr>
          <w:rFonts w:hint="eastAsia" w:ascii="仿宋_GB2312" w:hAnsi="仿宋" w:eastAsia="仿宋_GB2312" w:cs="仿宋"/>
          <w:b/>
          <w:color w:val="auto"/>
          <w:sz w:val="28"/>
          <w:szCs w:val="28"/>
          <w:highlight w:val="none"/>
        </w:rPr>
        <w:fldChar w:fldCharType="separate"/>
      </w:r>
      <w:r>
        <w:rPr>
          <w:color w:val="auto"/>
          <w:highlight w:val="none"/>
        </w:rPr>
        <w:fldChar w:fldCharType="begin"/>
      </w:r>
      <w:r>
        <w:rPr>
          <w:color w:val="auto"/>
          <w:highlight w:val="none"/>
        </w:rPr>
        <w:instrText xml:space="preserve"> HYPERLINK \l "_Toc20689" </w:instrText>
      </w:r>
      <w:r>
        <w:rPr>
          <w:color w:val="auto"/>
          <w:highlight w:val="none"/>
        </w:rPr>
        <w:fldChar w:fldCharType="separate"/>
      </w:r>
      <w:r>
        <w:rPr>
          <w:rFonts w:hint="eastAsia" w:ascii="仿宋_GB2312" w:hAnsi="仿宋" w:eastAsia="仿宋_GB2312" w:cs="仿宋"/>
          <w:color w:val="auto"/>
          <w:sz w:val="28"/>
          <w:szCs w:val="28"/>
          <w:highlight w:val="none"/>
        </w:rPr>
        <w:t>第一章  邀请公告</w:t>
      </w:r>
      <w:r>
        <w:rPr>
          <w:rFonts w:hint="eastAsia" w:ascii="仿宋_GB2312" w:hAnsi="仿宋" w:eastAsia="仿宋_GB2312" w:cs="仿宋"/>
          <w:color w:val="auto"/>
          <w:sz w:val="28"/>
          <w:szCs w:val="28"/>
          <w:highlight w:val="none"/>
        </w:rPr>
        <w:tab/>
      </w:r>
      <w:r>
        <w:rPr>
          <w:rFonts w:hint="eastAsia" w:ascii="仿宋_GB2312" w:hAnsi="仿宋" w:eastAsia="仿宋_GB2312" w:cs="仿宋"/>
          <w:color w:val="auto"/>
          <w:sz w:val="28"/>
          <w:szCs w:val="28"/>
          <w:highlight w:val="none"/>
        </w:rPr>
        <w:t>1</w:t>
      </w:r>
      <w:r>
        <w:rPr>
          <w:rFonts w:hint="eastAsia" w:ascii="仿宋_GB2312" w:hAnsi="仿宋" w:eastAsia="仿宋_GB2312" w:cs="仿宋"/>
          <w:color w:val="auto"/>
          <w:sz w:val="28"/>
          <w:szCs w:val="28"/>
          <w:highlight w:val="none"/>
        </w:rPr>
        <w:fldChar w:fldCharType="end"/>
      </w:r>
    </w:p>
    <w:p>
      <w:pPr>
        <w:pStyle w:val="25"/>
        <w:tabs>
          <w:tab w:val="right" w:leader="dot" w:pos="8900"/>
          <w:tab w:val="clear" w:pos="9060"/>
        </w:tabs>
        <w:spacing w:line="480" w:lineRule="auto"/>
        <w:rPr>
          <w:rFonts w:ascii="仿宋_GB2312" w:hAnsi="仿宋" w:eastAsia="仿宋_GB2312" w:cs="仿宋"/>
          <w:color w:val="auto"/>
          <w:sz w:val="28"/>
          <w:szCs w:val="28"/>
          <w:highlight w:val="none"/>
        </w:rPr>
      </w:pPr>
      <w:r>
        <w:rPr>
          <w:color w:val="auto"/>
          <w:highlight w:val="none"/>
        </w:rPr>
        <w:fldChar w:fldCharType="begin"/>
      </w:r>
      <w:r>
        <w:rPr>
          <w:color w:val="auto"/>
          <w:highlight w:val="none"/>
        </w:rPr>
        <w:instrText xml:space="preserve"> HYPERLINK \l "_Toc22683" </w:instrText>
      </w:r>
      <w:r>
        <w:rPr>
          <w:color w:val="auto"/>
          <w:highlight w:val="none"/>
        </w:rPr>
        <w:fldChar w:fldCharType="separate"/>
      </w:r>
      <w:r>
        <w:rPr>
          <w:rFonts w:hint="eastAsia" w:ascii="仿宋_GB2312" w:hAnsi="仿宋" w:eastAsia="仿宋_GB2312" w:cs="仿宋"/>
          <w:color w:val="auto"/>
          <w:sz w:val="28"/>
          <w:szCs w:val="28"/>
          <w:highlight w:val="none"/>
        </w:rPr>
        <w:t>第二章  比选申请人须知</w:t>
      </w:r>
      <w:r>
        <w:rPr>
          <w:rFonts w:hint="eastAsia" w:ascii="仿宋_GB2312" w:hAnsi="仿宋" w:eastAsia="仿宋_GB2312" w:cs="仿宋"/>
          <w:color w:val="auto"/>
          <w:sz w:val="28"/>
          <w:szCs w:val="28"/>
          <w:highlight w:val="none"/>
        </w:rPr>
        <w:tab/>
      </w:r>
      <w:r>
        <w:rPr>
          <w:rFonts w:hint="eastAsia" w:ascii="仿宋_GB2312" w:hAnsi="仿宋" w:eastAsia="仿宋_GB2312" w:cs="仿宋"/>
          <w:color w:val="auto"/>
          <w:sz w:val="28"/>
          <w:szCs w:val="28"/>
          <w:highlight w:val="none"/>
        </w:rPr>
        <w:t>3</w:t>
      </w:r>
      <w:r>
        <w:rPr>
          <w:rFonts w:hint="eastAsia" w:ascii="仿宋_GB2312" w:hAnsi="仿宋" w:eastAsia="仿宋_GB2312" w:cs="仿宋"/>
          <w:color w:val="auto"/>
          <w:sz w:val="28"/>
          <w:szCs w:val="28"/>
          <w:highlight w:val="none"/>
        </w:rPr>
        <w:fldChar w:fldCharType="end"/>
      </w:r>
    </w:p>
    <w:p>
      <w:pPr>
        <w:pStyle w:val="25"/>
        <w:spacing w:line="480" w:lineRule="auto"/>
        <w:rPr>
          <w:rFonts w:ascii="仿宋_GB2312" w:hAnsi="仿宋" w:eastAsia="仿宋_GB2312" w:cs="仿宋"/>
          <w:color w:val="auto"/>
          <w:sz w:val="28"/>
          <w:szCs w:val="28"/>
          <w:highlight w:val="none"/>
        </w:rPr>
      </w:pPr>
      <w:r>
        <w:rPr>
          <w:color w:val="auto"/>
          <w:highlight w:val="none"/>
        </w:rPr>
        <w:fldChar w:fldCharType="begin"/>
      </w:r>
      <w:r>
        <w:rPr>
          <w:color w:val="auto"/>
          <w:highlight w:val="none"/>
        </w:rPr>
        <w:instrText xml:space="preserve"> HYPERLINK \l "_Toc9828" </w:instrText>
      </w:r>
      <w:r>
        <w:rPr>
          <w:color w:val="auto"/>
          <w:highlight w:val="none"/>
        </w:rPr>
        <w:fldChar w:fldCharType="separate"/>
      </w:r>
      <w:r>
        <w:rPr>
          <w:rFonts w:hint="eastAsia" w:ascii="仿宋_GB2312" w:hAnsi="仿宋" w:eastAsia="仿宋_GB2312" w:cs="仿宋"/>
          <w:color w:val="auto"/>
          <w:sz w:val="28"/>
          <w:szCs w:val="28"/>
          <w:highlight w:val="none"/>
        </w:rPr>
        <w:t>第三章  采购需求</w:t>
      </w:r>
      <w:r>
        <w:rPr>
          <w:rFonts w:hint="eastAsia" w:ascii="仿宋_GB2312" w:hAnsi="仿宋" w:eastAsia="仿宋_GB2312" w:cs="仿宋"/>
          <w:color w:val="auto"/>
          <w:sz w:val="28"/>
          <w:szCs w:val="28"/>
          <w:highlight w:val="none"/>
        </w:rPr>
        <w:tab/>
      </w:r>
      <w:r>
        <w:rPr>
          <w:rFonts w:hint="eastAsia" w:ascii="仿宋_GB2312" w:hAnsi="仿宋" w:eastAsia="仿宋_GB2312" w:cs="仿宋"/>
          <w:color w:val="auto"/>
          <w:sz w:val="28"/>
          <w:szCs w:val="28"/>
          <w:highlight w:val="none"/>
        </w:rPr>
        <w:t>1</w:t>
      </w:r>
      <w:r>
        <w:rPr>
          <w:rFonts w:hint="eastAsia" w:ascii="仿宋_GB2312" w:hAnsi="仿宋" w:eastAsia="仿宋_GB2312" w:cs="仿宋"/>
          <w:color w:val="auto"/>
          <w:sz w:val="28"/>
          <w:szCs w:val="28"/>
          <w:highlight w:val="none"/>
        </w:rPr>
        <w:fldChar w:fldCharType="end"/>
      </w:r>
      <w:r>
        <w:rPr>
          <w:rFonts w:hint="eastAsia" w:ascii="仿宋_GB2312" w:hAnsi="仿宋" w:eastAsia="仿宋_GB2312" w:cs="仿宋"/>
          <w:color w:val="auto"/>
          <w:sz w:val="28"/>
          <w:szCs w:val="28"/>
          <w:highlight w:val="none"/>
        </w:rPr>
        <w:t>2</w:t>
      </w:r>
    </w:p>
    <w:p>
      <w:pPr>
        <w:pStyle w:val="25"/>
        <w:spacing w:line="480" w:lineRule="auto"/>
        <w:rPr>
          <w:rFonts w:ascii="仿宋_GB2312" w:hAnsi="仿宋" w:eastAsia="仿宋_GB2312" w:cs="仿宋"/>
          <w:color w:val="auto"/>
          <w:sz w:val="28"/>
          <w:szCs w:val="28"/>
          <w:highlight w:val="none"/>
        </w:rPr>
      </w:pPr>
      <w:r>
        <w:rPr>
          <w:color w:val="auto"/>
          <w:highlight w:val="none"/>
        </w:rPr>
        <w:fldChar w:fldCharType="begin"/>
      </w:r>
      <w:r>
        <w:rPr>
          <w:color w:val="auto"/>
          <w:highlight w:val="none"/>
        </w:rPr>
        <w:instrText xml:space="preserve"> HYPERLINK \l "_Toc9828" </w:instrText>
      </w:r>
      <w:r>
        <w:rPr>
          <w:color w:val="auto"/>
          <w:highlight w:val="none"/>
        </w:rPr>
        <w:fldChar w:fldCharType="separate"/>
      </w:r>
      <w:r>
        <w:rPr>
          <w:rFonts w:hint="eastAsia" w:ascii="仿宋_GB2312" w:hAnsi="仿宋" w:eastAsia="仿宋_GB2312" w:cs="仿宋"/>
          <w:color w:val="auto"/>
          <w:sz w:val="28"/>
          <w:szCs w:val="28"/>
          <w:highlight w:val="none"/>
        </w:rPr>
        <w:t>第四章  参选文件的组成及格式</w:t>
      </w:r>
      <w:r>
        <w:rPr>
          <w:rFonts w:hint="eastAsia" w:ascii="仿宋_GB2312" w:hAnsi="仿宋" w:eastAsia="仿宋_GB2312" w:cs="仿宋"/>
          <w:color w:val="auto"/>
          <w:sz w:val="28"/>
          <w:szCs w:val="28"/>
          <w:highlight w:val="none"/>
        </w:rPr>
        <w:tab/>
      </w:r>
      <w:r>
        <w:rPr>
          <w:rFonts w:hint="eastAsia" w:ascii="仿宋_GB2312" w:hAnsi="仿宋" w:eastAsia="仿宋_GB2312" w:cs="仿宋"/>
          <w:color w:val="auto"/>
          <w:sz w:val="28"/>
          <w:szCs w:val="28"/>
          <w:highlight w:val="none"/>
        </w:rPr>
        <w:t>13</w:t>
      </w:r>
      <w:r>
        <w:rPr>
          <w:rFonts w:hint="eastAsia" w:ascii="仿宋_GB2312" w:hAnsi="仿宋" w:eastAsia="仿宋_GB2312" w:cs="仿宋"/>
          <w:color w:val="auto"/>
          <w:sz w:val="28"/>
          <w:szCs w:val="28"/>
          <w:highlight w:val="none"/>
        </w:rPr>
        <w:fldChar w:fldCharType="end"/>
      </w:r>
    </w:p>
    <w:p>
      <w:pPr>
        <w:pStyle w:val="25"/>
        <w:tabs>
          <w:tab w:val="right" w:leader="dot" w:pos="8900"/>
          <w:tab w:val="clear" w:pos="9060"/>
        </w:tabs>
        <w:spacing w:line="480" w:lineRule="auto"/>
        <w:jc w:val="left"/>
        <w:rPr>
          <w:rFonts w:ascii="仿宋_GB2312" w:hAnsi="仿宋" w:eastAsia="仿宋_GB2312" w:cs="仿宋"/>
          <w:color w:val="auto"/>
          <w:sz w:val="28"/>
          <w:szCs w:val="28"/>
          <w:highlight w:val="none"/>
        </w:rPr>
      </w:pPr>
      <w:r>
        <w:rPr>
          <w:color w:val="auto"/>
          <w:highlight w:val="none"/>
        </w:rPr>
        <w:fldChar w:fldCharType="begin"/>
      </w:r>
      <w:r>
        <w:rPr>
          <w:color w:val="auto"/>
          <w:highlight w:val="none"/>
        </w:rPr>
        <w:instrText xml:space="preserve"> HYPERLINK \l "_Toc4597" </w:instrText>
      </w:r>
      <w:r>
        <w:rPr>
          <w:color w:val="auto"/>
          <w:highlight w:val="none"/>
        </w:rPr>
        <w:fldChar w:fldCharType="separate"/>
      </w:r>
      <w:r>
        <w:rPr>
          <w:rFonts w:hint="eastAsia" w:ascii="仿宋_GB2312" w:hAnsi="仿宋" w:eastAsia="仿宋_GB2312" w:cs="仿宋"/>
          <w:color w:val="auto"/>
          <w:sz w:val="28"/>
          <w:szCs w:val="28"/>
          <w:highlight w:val="none"/>
        </w:rPr>
        <w:t>第五章  评选办法</w:t>
      </w:r>
      <w:r>
        <w:rPr>
          <w:rFonts w:hint="eastAsia" w:ascii="仿宋_GB2312" w:hAnsi="仿宋" w:eastAsia="仿宋_GB2312" w:cs="仿宋"/>
          <w:color w:val="auto"/>
          <w:sz w:val="28"/>
          <w:szCs w:val="28"/>
          <w:highlight w:val="none"/>
        </w:rPr>
        <w:tab/>
      </w:r>
      <w:r>
        <w:rPr>
          <w:rFonts w:hint="eastAsia" w:ascii="仿宋_GB2312" w:hAnsi="仿宋" w:eastAsia="仿宋_GB2312" w:cs="仿宋"/>
          <w:color w:val="auto"/>
          <w:sz w:val="28"/>
          <w:szCs w:val="28"/>
          <w:highlight w:val="none"/>
        </w:rPr>
        <w:t>2</w:t>
      </w:r>
      <w:r>
        <w:rPr>
          <w:rFonts w:hint="eastAsia" w:ascii="仿宋_GB2312" w:hAnsi="仿宋" w:eastAsia="仿宋_GB2312" w:cs="仿宋"/>
          <w:color w:val="auto"/>
          <w:sz w:val="28"/>
          <w:szCs w:val="28"/>
          <w:highlight w:val="none"/>
        </w:rPr>
        <w:fldChar w:fldCharType="end"/>
      </w:r>
      <w:r>
        <w:rPr>
          <w:rFonts w:hint="eastAsia" w:ascii="仿宋_GB2312" w:hAnsi="仿宋" w:eastAsia="仿宋_GB2312" w:cs="仿宋"/>
          <w:color w:val="auto"/>
          <w:sz w:val="28"/>
          <w:szCs w:val="28"/>
          <w:highlight w:val="none"/>
        </w:rPr>
        <w:t xml:space="preserve">5 </w:t>
      </w:r>
    </w:p>
    <w:p>
      <w:pPr>
        <w:adjustRightInd w:val="0"/>
        <w:snapToGrid w:val="0"/>
        <w:spacing w:line="480" w:lineRule="auto"/>
        <w:ind w:right="-420" w:rightChars="-200" w:firstLine="291" w:firstLineChars="104"/>
        <w:rPr>
          <w:rFonts w:ascii="仿宋" w:hAnsi="仿宋" w:eastAsia="仿宋" w:cs="仿宋"/>
          <w:color w:val="auto"/>
          <w:sz w:val="30"/>
          <w:szCs w:val="30"/>
          <w:highlight w:val="none"/>
        </w:rPr>
      </w:pPr>
      <w:r>
        <w:rPr>
          <w:rFonts w:hint="eastAsia" w:ascii="仿宋_GB2312" w:hAnsi="仿宋" w:eastAsia="仿宋_GB2312" w:cs="仿宋"/>
          <w:color w:val="auto"/>
          <w:sz w:val="28"/>
          <w:szCs w:val="28"/>
          <w:highlight w:val="none"/>
        </w:rPr>
        <w:fldChar w:fldCharType="end"/>
      </w: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1417" w:right="2069" w:bottom="1417" w:left="1637" w:header="851" w:footer="992" w:gutter="0"/>
          <w:cols w:space="0" w:num="1"/>
          <w:titlePg/>
          <w:docGrid w:type="linesAndChars" w:linePitch="312" w:charSpace="0"/>
        </w:sectPr>
      </w:pPr>
    </w:p>
    <w:bookmarkEnd w:id="0"/>
    <w:bookmarkEnd w:id="1"/>
    <w:p>
      <w:pPr>
        <w:spacing w:line="360" w:lineRule="auto"/>
        <w:jc w:val="center"/>
        <w:outlineLvl w:val="0"/>
        <w:rPr>
          <w:rFonts w:hint="eastAsia" w:ascii="仿宋" w:hAnsi="仿宋" w:eastAsia="仿宋" w:cs="仿宋"/>
          <w:b/>
          <w:sz w:val="32"/>
          <w:szCs w:val="32"/>
          <w:highlight w:val="none"/>
        </w:rPr>
      </w:pPr>
      <w:bookmarkStart w:id="2" w:name="_Toc20689"/>
      <w:bookmarkStart w:id="3" w:name="_Toc20290"/>
      <w:bookmarkStart w:id="4" w:name="_Toc22683"/>
      <w:bookmarkStart w:id="5" w:name="_Toc4161"/>
      <w:r>
        <w:rPr>
          <w:rFonts w:hint="eastAsia" w:ascii="仿宋" w:hAnsi="仿宋" w:eastAsia="仿宋" w:cs="仿宋"/>
          <w:b/>
          <w:sz w:val="32"/>
          <w:szCs w:val="32"/>
          <w:highlight w:val="none"/>
        </w:rPr>
        <w:t>第一章  邀请公告</w:t>
      </w:r>
      <w:bookmarkEnd w:id="2"/>
      <w:bookmarkEnd w:id="3"/>
    </w:p>
    <w:p>
      <w:pPr>
        <w:adjustRightInd w:val="0"/>
        <w:snapToGrid w:val="0"/>
        <w:spacing w:line="360" w:lineRule="auto"/>
        <w:rPr>
          <w:rFonts w:hint="eastAsia" w:ascii="仿宋" w:hAnsi="仿宋" w:eastAsia="仿宋" w:cs="仿宋"/>
          <w:szCs w:val="21"/>
          <w:highlight w:val="none"/>
        </w:rPr>
      </w:pPr>
    </w:p>
    <w:p>
      <w:pPr>
        <w:adjustRightInd w:val="0"/>
        <w:snapToGrid w:val="0"/>
        <w:spacing w:line="360" w:lineRule="auto"/>
        <w:rPr>
          <w:rFonts w:hint="eastAsia" w:ascii="仿宋" w:hAnsi="仿宋" w:eastAsia="仿宋" w:cs="仿宋"/>
          <w:iCs/>
          <w:szCs w:val="21"/>
          <w:highlight w:val="none"/>
        </w:rPr>
      </w:pPr>
      <w:r>
        <w:rPr>
          <w:rFonts w:hint="eastAsia" w:ascii="仿宋" w:hAnsi="仿宋" w:eastAsia="仿宋" w:cs="仿宋"/>
          <w:szCs w:val="21"/>
          <w:highlight w:val="none"/>
        </w:rPr>
        <w:t>(被邀请比选申请人名称)：</w:t>
      </w:r>
    </w:p>
    <w:p>
      <w:pPr>
        <w:spacing w:line="360" w:lineRule="auto"/>
        <w:ind w:firstLine="405"/>
        <w:jc w:val="left"/>
        <w:rPr>
          <w:rFonts w:hint="eastAsia" w:ascii="仿宋" w:hAnsi="仿宋" w:eastAsia="仿宋" w:cs="仿宋"/>
          <w:szCs w:val="21"/>
          <w:highlight w:val="none"/>
        </w:rPr>
      </w:pPr>
      <w:r>
        <w:rPr>
          <w:rFonts w:hint="eastAsia" w:ascii="仿宋" w:hAnsi="仿宋" w:eastAsia="仿宋" w:cs="仿宋"/>
          <w:szCs w:val="21"/>
          <w:highlight w:val="none"/>
          <w:lang w:eastAsia="zh-CN"/>
        </w:rPr>
        <w:t>凤凰磁浮观光快线车站固定艺术装置设计、制作及安装</w:t>
      </w:r>
      <w:r>
        <w:rPr>
          <w:rFonts w:hint="eastAsia" w:ascii="仿宋" w:hAnsi="仿宋" w:eastAsia="仿宋" w:cs="仿宋"/>
          <w:szCs w:val="21"/>
          <w:highlight w:val="none"/>
        </w:rPr>
        <w:t>已具备比选条件，现就本</w:t>
      </w:r>
      <w:r>
        <w:rPr>
          <w:rFonts w:hint="eastAsia" w:ascii="仿宋" w:hAnsi="仿宋" w:eastAsia="仿宋" w:cs="仿宋"/>
          <w:szCs w:val="21"/>
          <w:highlight w:val="none"/>
          <w:lang w:val="en-US" w:eastAsia="zh-CN"/>
        </w:rPr>
        <w:t>项目的实施</w:t>
      </w:r>
      <w:r>
        <w:rPr>
          <w:rFonts w:hint="eastAsia" w:ascii="仿宋" w:hAnsi="仿宋" w:eastAsia="仿宋" w:cs="仿宋"/>
          <w:szCs w:val="21"/>
          <w:highlight w:val="none"/>
        </w:rPr>
        <w:t>进行国内邀请比选。</w:t>
      </w:r>
    </w:p>
    <w:p>
      <w:pPr>
        <w:pStyle w:val="29"/>
        <w:adjustRightInd w:val="0"/>
        <w:snapToGrid w:val="0"/>
        <w:spacing w:before="76" w:line="360" w:lineRule="auto"/>
        <w:rPr>
          <w:rFonts w:hint="eastAsia" w:ascii="仿宋" w:hAnsi="仿宋" w:eastAsia="仿宋" w:cs="仿宋"/>
          <w:b/>
          <w:highlight w:val="none"/>
        </w:rPr>
      </w:pPr>
      <w:r>
        <w:rPr>
          <w:rFonts w:hint="eastAsia" w:ascii="仿宋" w:hAnsi="仿宋" w:eastAsia="仿宋" w:cs="仿宋"/>
          <w:b/>
          <w:highlight w:val="none"/>
        </w:rPr>
        <w:t>一、项目综合说明</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1、项目名称：</w:t>
      </w:r>
      <w:r>
        <w:rPr>
          <w:rFonts w:hint="eastAsia" w:ascii="仿宋" w:hAnsi="仿宋" w:eastAsia="仿宋" w:cs="仿宋"/>
          <w:szCs w:val="21"/>
          <w:highlight w:val="none"/>
          <w:lang w:eastAsia="zh-CN"/>
        </w:rPr>
        <w:t>凤凰磁浮观光快线车站固定艺术装置设计、制作及安装</w:t>
      </w:r>
      <w:r>
        <w:rPr>
          <w:rFonts w:hint="eastAsia" w:ascii="仿宋" w:hAnsi="仿宋" w:eastAsia="仿宋" w:cs="仿宋"/>
          <w:szCs w:val="21"/>
          <w:highlight w:val="none"/>
        </w:rPr>
        <w:t>；</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2、项目概况：</w:t>
      </w:r>
      <w:r>
        <w:rPr>
          <w:rFonts w:hint="eastAsia" w:ascii="仿宋" w:hAnsi="仿宋" w:eastAsia="仿宋" w:cs="仿宋"/>
          <w:szCs w:val="21"/>
          <w:highlight w:val="none"/>
          <w:lang w:val="en-US" w:eastAsia="zh-CN"/>
        </w:rPr>
        <w:t>为提升凤凰磁浮观光快线的文旅属性，提高游玩的体验性，拟在各站打造网红互动固定艺术装置（美陈）。现需引进一家固定艺术装置（美陈）设计施工单位，开展各站互动美陈的设计、制作及施工工作。</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3、资金来源：企业自筹；</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4、完成期限：合同签订日起</w:t>
      </w:r>
      <w:r>
        <w:rPr>
          <w:rFonts w:hint="eastAsia" w:ascii="仿宋" w:hAnsi="仿宋" w:eastAsia="仿宋" w:cs="仿宋"/>
          <w:szCs w:val="21"/>
          <w:highlight w:val="none"/>
          <w:lang w:val="en-US" w:eastAsia="zh-CN"/>
        </w:rPr>
        <w:t>60个自然日</w:t>
      </w:r>
      <w:r>
        <w:rPr>
          <w:rFonts w:hint="eastAsia" w:ascii="仿宋" w:hAnsi="仿宋" w:eastAsia="仿宋" w:cs="仿宋"/>
          <w:szCs w:val="21"/>
          <w:highlight w:val="none"/>
        </w:rPr>
        <w:t>；</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5、比选范围：</w:t>
      </w:r>
      <w:r>
        <w:rPr>
          <w:rFonts w:hint="eastAsia" w:ascii="仿宋" w:hAnsi="仿宋" w:eastAsia="仿宋" w:cs="仿宋"/>
          <w:szCs w:val="21"/>
          <w:highlight w:val="none"/>
          <w:lang w:eastAsia="zh-Hans"/>
        </w:rPr>
        <w:t>定制</w:t>
      </w:r>
      <w:r>
        <w:rPr>
          <w:rFonts w:hint="eastAsia" w:ascii="仿宋" w:hAnsi="仿宋" w:eastAsia="仿宋" w:cs="仿宋"/>
          <w:szCs w:val="21"/>
          <w:highlight w:val="none"/>
        </w:rPr>
        <w:t>IP形象玻璃钢</w:t>
      </w:r>
      <w:r>
        <w:rPr>
          <w:rFonts w:hint="eastAsia" w:ascii="仿宋" w:hAnsi="仿宋" w:eastAsia="仿宋" w:cs="仿宋"/>
          <w:szCs w:val="21"/>
          <w:highlight w:val="none"/>
          <w:lang w:eastAsia="zh-Hans"/>
        </w:rPr>
        <w:t>22个（不同造型）</w:t>
      </w:r>
      <w:r>
        <w:rPr>
          <w:rFonts w:hint="eastAsia" w:ascii="仿宋" w:hAnsi="仿宋" w:eastAsia="仿宋" w:cs="仿宋"/>
          <w:szCs w:val="21"/>
          <w:highlight w:val="none"/>
        </w:rPr>
        <w:t>，</w:t>
      </w:r>
      <w:r>
        <w:rPr>
          <w:rFonts w:hint="eastAsia" w:ascii="仿宋" w:hAnsi="仿宋" w:eastAsia="仿宋" w:cs="仿宋"/>
          <w:szCs w:val="21"/>
          <w:highlight w:val="none"/>
          <w:lang w:eastAsia="zh-Hans"/>
        </w:rPr>
        <w:t>制作工艺要求使用4层纤维网，连接处使用钢龙骨，同时要求设计22个不同姿态3D模型，摆放位置如下：</w:t>
      </w:r>
      <w:r>
        <w:rPr>
          <w:rFonts w:hint="eastAsia" w:ascii="仿宋" w:hAnsi="仿宋" w:eastAsia="仿宋" w:cs="仿宋"/>
          <w:szCs w:val="21"/>
          <w:highlight w:val="none"/>
        </w:rPr>
        <w:t>凤凰古城（磁浮）站布置6个，均为站姿，其中1</w:t>
      </w:r>
      <w:r>
        <w:rPr>
          <w:rFonts w:hint="eastAsia" w:ascii="仿宋" w:hAnsi="仿宋" w:eastAsia="仿宋" w:cs="仿宋"/>
          <w:szCs w:val="21"/>
          <w:highlight w:val="none"/>
          <w:lang w:eastAsia="zh-Hans"/>
        </w:rPr>
        <w:t>.6</w:t>
      </w:r>
      <w:r>
        <w:rPr>
          <w:rFonts w:hint="eastAsia" w:ascii="仿宋" w:hAnsi="仿宋" w:eastAsia="仿宋" w:cs="仿宋"/>
          <w:szCs w:val="21"/>
          <w:highlight w:val="none"/>
        </w:rPr>
        <w:t>m高4个（</w:t>
      </w:r>
      <w:r>
        <w:rPr>
          <w:rFonts w:hint="eastAsia" w:ascii="仿宋" w:hAnsi="仿宋" w:eastAsia="仿宋" w:cs="仿宋"/>
          <w:szCs w:val="21"/>
          <w:highlight w:val="none"/>
          <w:lang w:eastAsia="zh-Hans"/>
        </w:rPr>
        <w:t>站厅层1个，</w:t>
      </w:r>
      <w:r>
        <w:rPr>
          <w:rFonts w:hint="eastAsia" w:ascii="仿宋" w:hAnsi="仿宋" w:eastAsia="仿宋" w:cs="仿宋"/>
          <w:szCs w:val="21"/>
          <w:highlight w:val="none"/>
        </w:rPr>
        <w:t>站台层3</w:t>
      </w:r>
      <w:r>
        <w:rPr>
          <w:rFonts w:hint="eastAsia" w:ascii="仿宋" w:hAnsi="仿宋" w:eastAsia="仿宋" w:cs="仿宋"/>
          <w:szCs w:val="21"/>
          <w:highlight w:val="none"/>
          <w:lang w:eastAsia="zh-Hans"/>
        </w:rPr>
        <w:t>个</w:t>
      </w:r>
      <w:r>
        <w:rPr>
          <w:rFonts w:hint="eastAsia" w:ascii="仿宋" w:hAnsi="仿宋" w:eastAsia="仿宋" w:cs="仿宋"/>
          <w:szCs w:val="21"/>
          <w:highlight w:val="none"/>
        </w:rPr>
        <w:t>），1</w:t>
      </w:r>
      <w:r>
        <w:rPr>
          <w:rFonts w:hint="eastAsia" w:ascii="仿宋" w:hAnsi="仿宋" w:eastAsia="仿宋" w:cs="仿宋"/>
          <w:szCs w:val="21"/>
          <w:highlight w:val="none"/>
          <w:lang w:eastAsia="zh-Hans"/>
        </w:rPr>
        <w:t>.8</w:t>
      </w:r>
      <w:r>
        <w:rPr>
          <w:rFonts w:hint="eastAsia" w:ascii="仿宋" w:hAnsi="仿宋" w:eastAsia="仿宋" w:cs="仿宋"/>
          <w:szCs w:val="21"/>
          <w:highlight w:val="none"/>
        </w:rPr>
        <w:t>m高2个（布置在站厅层入口两侧）；凤凰迎宾站布置4个，均位于站台层，其中1.2m高2个（坐姿），1.6m高2个（站姿）；凤凰揽胜站</w:t>
      </w:r>
      <w:r>
        <w:rPr>
          <w:rFonts w:hint="eastAsia" w:ascii="仿宋" w:hAnsi="仿宋" w:eastAsia="仿宋" w:cs="仿宋"/>
          <w:szCs w:val="21"/>
          <w:highlight w:val="none"/>
          <w:lang w:eastAsia="zh-Hans"/>
        </w:rPr>
        <w:t>共</w:t>
      </w:r>
      <w:r>
        <w:rPr>
          <w:rFonts w:hint="eastAsia" w:ascii="仿宋" w:hAnsi="仿宋" w:eastAsia="仿宋" w:cs="仿宋"/>
          <w:szCs w:val="21"/>
          <w:highlight w:val="none"/>
        </w:rPr>
        <w:t>布置8个，均为站姿，</w:t>
      </w:r>
      <w:r>
        <w:rPr>
          <w:rFonts w:hint="eastAsia" w:ascii="仿宋" w:hAnsi="仿宋" w:eastAsia="仿宋" w:cs="仿宋"/>
          <w:szCs w:val="21"/>
          <w:highlight w:val="none"/>
          <w:lang w:eastAsia="zh-Hans"/>
        </w:rPr>
        <w:t>一层1个（1.8m），二层3个（1.6m），三层4个（1.8m、2.2m、1.6m*2）</w:t>
      </w:r>
      <w:r>
        <w:rPr>
          <w:rFonts w:hint="eastAsia" w:ascii="仿宋" w:hAnsi="仿宋" w:eastAsia="仿宋" w:cs="仿宋"/>
          <w:szCs w:val="21"/>
          <w:highlight w:val="none"/>
        </w:rPr>
        <w:t>；凤凰等待站布置IP形象4个，均位于站台层，其中1.2m高2个（坐姿），1.6m高2个（站姿）。</w:t>
      </w:r>
      <w:r>
        <w:rPr>
          <w:rFonts w:hint="eastAsia" w:ascii="仿宋" w:hAnsi="仿宋" w:eastAsia="仿宋" w:cs="仿宋"/>
          <w:szCs w:val="21"/>
          <w:highlight w:val="none"/>
          <w:lang w:eastAsia="zh-Hans"/>
        </w:rPr>
        <w:t>定制固定网红拍照打卡点3个，凤凰古城站放置大型网红拍照相框2个，凤凰等待站放置IP形象拍照点1个。</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lang w:eastAsia="zh-Hans"/>
        </w:rPr>
        <w:t>定制固定</w:t>
      </w:r>
      <w:r>
        <w:rPr>
          <w:rFonts w:hint="eastAsia" w:ascii="仿宋" w:hAnsi="仿宋" w:eastAsia="仿宋" w:cs="仿宋"/>
          <w:szCs w:val="21"/>
          <w:highlight w:val="none"/>
        </w:rPr>
        <w:t>互动艺术装置</w:t>
      </w:r>
      <w:r>
        <w:rPr>
          <w:rFonts w:hint="eastAsia" w:ascii="仿宋" w:hAnsi="仿宋" w:eastAsia="仿宋" w:cs="仿宋"/>
          <w:szCs w:val="21"/>
          <w:highlight w:val="none"/>
          <w:lang w:eastAsia="zh-Hans"/>
        </w:rPr>
        <w:t>三套，</w:t>
      </w:r>
      <w:r>
        <w:rPr>
          <w:rFonts w:hint="eastAsia" w:ascii="仿宋" w:hAnsi="仿宋" w:eastAsia="仿宋" w:cs="仿宋"/>
          <w:szCs w:val="21"/>
          <w:highlight w:val="none"/>
        </w:rPr>
        <w:t>凤凰揽胜站站台层布置多人秋千1套，</w:t>
      </w:r>
      <w:r>
        <w:rPr>
          <w:rFonts w:hint="eastAsia" w:ascii="仿宋" w:hAnsi="仿宋" w:eastAsia="仿宋" w:cs="仿宋"/>
          <w:szCs w:val="21"/>
          <w:highlight w:val="none"/>
          <w:lang w:eastAsia="zh-Hans"/>
        </w:rPr>
        <w:t>长度不低于6米</w:t>
      </w:r>
      <w:r>
        <w:rPr>
          <w:rFonts w:hint="eastAsia" w:ascii="仿宋" w:hAnsi="仿宋" w:eastAsia="仿宋" w:cs="仿宋"/>
          <w:szCs w:val="21"/>
          <w:highlight w:val="none"/>
        </w:rPr>
        <w:t>；在凤凰揽胜站站厅层布置</w:t>
      </w:r>
      <w:r>
        <w:rPr>
          <w:rFonts w:hint="eastAsia" w:ascii="仿宋" w:hAnsi="仿宋" w:eastAsia="仿宋" w:cs="仿宋"/>
          <w:szCs w:val="21"/>
          <w:highlight w:val="none"/>
          <w:lang w:eastAsia="zh-Hans"/>
        </w:rPr>
        <w:t>艺术</w:t>
      </w:r>
      <w:r>
        <w:rPr>
          <w:rFonts w:hint="eastAsia" w:ascii="仿宋" w:hAnsi="仿宋" w:eastAsia="仿宋" w:cs="仿宋"/>
          <w:szCs w:val="21"/>
          <w:highlight w:val="none"/>
        </w:rPr>
        <w:t>秋千2套，秋千直径不低于1m，；在凤凰揽胜站一层布置体感互动翅膀一套，高度</w:t>
      </w:r>
      <w:r>
        <w:rPr>
          <w:rFonts w:hint="eastAsia" w:ascii="仿宋" w:hAnsi="仿宋" w:eastAsia="仿宋" w:cs="仿宋"/>
          <w:szCs w:val="21"/>
          <w:highlight w:val="none"/>
          <w:lang w:eastAsia="zh-Hans"/>
        </w:rPr>
        <w:t>不低于</w:t>
      </w:r>
      <w:r>
        <w:rPr>
          <w:rFonts w:hint="eastAsia" w:ascii="仿宋" w:hAnsi="仿宋" w:eastAsia="仿宋" w:cs="仿宋"/>
          <w:szCs w:val="21"/>
          <w:highlight w:val="none"/>
        </w:rPr>
        <w:t>3m。</w:t>
      </w:r>
      <w:r>
        <w:rPr>
          <w:rFonts w:hint="eastAsia" w:ascii="仿宋" w:hAnsi="仿宋" w:eastAsia="仿宋" w:cs="仿宋"/>
          <w:szCs w:val="21"/>
          <w:highlight w:val="none"/>
          <w:lang w:eastAsia="zh-Hans"/>
        </w:rPr>
        <w:t>所有互动艺术装置均</w:t>
      </w:r>
      <w:r>
        <w:rPr>
          <w:rFonts w:hint="eastAsia" w:ascii="仿宋" w:hAnsi="仿宋" w:eastAsia="仿宋" w:cs="仿宋"/>
          <w:szCs w:val="21"/>
          <w:highlight w:val="none"/>
        </w:rPr>
        <w:t>需进行</w:t>
      </w:r>
      <w:r>
        <w:rPr>
          <w:rFonts w:hint="eastAsia" w:ascii="仿宋" w:hAnsi="仿宋" w:eastAsia="仿宋" w:cs="仿宋"/>
          <w:szCs w:val="21"/>
          <w:highlight w:val="none"/>
          <w:lang w:eastAsia="zh-Hans"/>
        </w:rPr>
        <w:t>深化</w:t>
      </w:r>
      <w:r>
        <w:rPr>
          <w:rFonts w:hint="eastAsia" w:ascii="仿宋" w:hAnsi="仿宋" w:eastAsia="仿宋" w:cs="仿宋"/>
          <w:szCs w:val="21"/>
          <w:highlight w:val="none"/>
        </w:rPr>
        <w:t>美陈</w:t>
      </w:r>
      <w:r>
        <w:rPr>
          <w:rFonts w:hint="eastAsia" w:ascii="仿宋" w:hAnsi="仿宋" w:eastAsia="仿宋" w:cs="仿宋"/>
          <w:szCs w:val="21"/>
          <w:highlight w:val="none"/>
          <w:lang w:eastAsia="zh-Hans"/>
        </w:rPr>
        <w:t>设计，并对其周边环境进行美化和施工，赋予艺术装置“凤凰磁浮文旅”的独有属性，达到吸引游客拍照打卡的效果。</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6、资格审查方式：资格后审；</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7、比选办法：竞争性比选；</w:t>
      </w:r>
    </w:p>
    <w:p>
      <w:pPr>
        <w:pStyle w:val="29"/>
        <w:adjustRightInd w:val="0"/>
        <w:snapToGrid w:val="0"/>
        <w:spacing w:before="76" w:line="360" w:lineRule="auto"/>
        <w:rPr>
          <w:rFonts w:hint="eastAsia" w:ascii="仿宋" w:hAnsi="仿宋" w:eastAsia="仿宋" w:cs="仿宋"/>
          <w:b/>
          <w:highlight w:val="none"/>
        </w:rPr>
      </w:pPr>
      <w:r>
        <w:rPr>
          <w:rFonts w:hint="eastAsia" w:ascii="仿宋" w:hAnsi="仿宋" w:eastAsia="仿宋" w:cs="仿宋"/>
          <w:b/>
          <w:highlight w:val="none"/>
        </w:rPr>
        <w:t>二、比选申请人资格要求</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2.1具有独立法人资格并依法取得企业营业执照，营业执照处于有效期，营业执照的经营范围应满足承接本项目业务的要求；</w:t>
      </w:r>
    </w:p>
    <w:p>
      <w:pPr>
        <w:adjustRightInd w:val="0"/>
        <w:snapToGrid w:val="0"/>
        <w:spacing w:line="360" w:lineRule="auto"/>
        <w:ind w:firstLine="420" w:firstLineChars="200"/>
        <w:rPr>
          <w:rFonts w:ascii="仿宋" w:hAnsi="仿宋" w:eastAsia="仿宋" w:cs="仿宋"/>
          <w:szCs w:val="21"/>
          <w:highlight w:val="none"/>
        </w:rPr>
      </w:pPr>
      <w:r>
        <w:rPr>
          <w:rFonts w:hint="eastAsia" w:ascii="仿宋" w:hAnsi="仿宋" w:eastAsia="仿宋" w:cs="仿宋"/>
          <w:szCs w:val="21"/>
          <w:highlight w:val="none"/>
          <w:lang w:val="en-US" w:eastAsia="zh-CN"/>
        </w:rPr>
        <w:t>2.2 近三</w:t>
      </w:r>
      <w:r>
        <w:rPr>
          <w:rFonts w:hint="eastAsia" w:ascii="仿宋" w:hAnsi="仿宋" w:eastAsia="仿宋" w:cs="仿宋"/>
          <w:szCs w:val="21"/>
          <w:highlight w:val="none"/>
          <w:lang w:eastAsia="zh-CN"/>
        </w:rPr>
        <w:t>年具有一个</w:t>
      </w:r>
      <w:r>
        <w:rPr>
          <w:rFonts w:hint="eastAsia" w:ascii="仿宋" w:hAnsi="仿宋" w:eastAsia="仿宋" w:cs="仿宋"/>
          <w:szCs w:val="21"/>
          <w:highlight w:val="none"/>
          <w:lang w:val="en-US" w:eastAsia="zh-CN"/>
        </w:rPr>
        <w:t>艺术装置施工类似业绩</w:t>
      </w:r>
      <w:r>
        <w:rPr>
          <w:rFonts w:hint="eastAsia" w:ascii="仿宋" w:hAnsi="仿宋" w:eastAsia="仿宋" w:cs="仿宋"/>
          <w:szCs w:val="21"/>
          <w:highlight w:val="none"/>
        </w:rPr>
        <w:t>（提供合同复印件）；</w:t>
      </w:r>
    </w:p>
    <w:p>
      <w:pPr>
        <w:adjustRightInd w:val="0"/>
        <w:snapToGrid w:val="0"/>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2.3本项目不接受联合体参加比选</w:t>
      </w:r>
      <w:r>
        <w:rPr>
          <w:rFonts w:hint="eastAsia" w:ascii="仿宋" w:hAnsi="仿宋" w:eastAsia="仿宋" w:cs="仿宋"/>
          <w:szCs w:val="21"/>
          <w:highlight w:val="none"/>
          <w:lang w:eastAsia="zh-CN"/>
        </w:rPr>
        <w:t>；</w:t>
      </w:r>
    </w:p>
    <w:p>
      <w:pPr>
        <w:adjustRightInd w:val="0"/>
        <w:snapToGrid w:val="0"/>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2.4须确保没有处于被责令停业或破产的状态。</w:t>
      </w:r>
    </w:p>
    <w:p>
      <w:pPr>
        <w:ind w:left="0" w:leftChars="0" w:firstLine="0" w:firstLineChars="0"/>
        <w:rPr>
          <w:rFonts w:hint="eastAsia" w:ascii="仿宋" w:hAnsi="仿宋" w:eastAsia="仿宋" w:cs="仿宋"/>
          <w:b/>
          <w:highlight w:val="none"/>
        </w:rPr>
      </w:pPr>
      <w:r>
        <w:rPr>
          <w:rFonts w:hint="eastAsia" w:ascii="仿宋" w:hAnsi="仿宋" w:eastAsia="仿宋" w:cs="仿宋"/>
          <w:b/>
          <w:highlight w:val="none"/>
        </w:rPr>
        <w:t>三、比选文件的获取</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3.1凡有意参加比选的申请人应于</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6</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30</w:t>
      </w:r>
      <w:r>
        <w:rPr>
          <w:rFonts w:hint="eastAsia" w:ascii="仿宋" w:hAnsi="仿宋" w:eastAsia="仿宋" w:cs="仿宋"/>
          <w:szCs w:val="21"/>
          <w:highlight w:val="none"/>
          <w:lang w:eastAsia="zh-CN"/>
        </w:rPr>
        <w:t>日至2022年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lang w:eastAsia="zh-CN"/>
        </w:rPr>
        <w:t>日</w:t>
      </w:r>
      <w:r>
        <w:rPr>
          <w:rFonts w:hint="eastAsia" w:ascii="仿宋" w:hAnsi="仿宋" w:eastAsia="仿宋" w:cs="仿宋"/>
          <w:szCs w:val="21"/>
          <w:highlight w:val="none"/>
        </w:rPr>
        <w:t>17:00时前（北京时间，下同），可以选择以下任一种方式获取比选文件：</w:t>
      </w:r>
    </w:p>
    <w:p>
      <w:pPr>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第一种：直接下载本文附件；</w:t>
      </w:r>
    </w:p>
    <w:p>
      <w:pPr>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第二种：法定代表人（或委托代理人）持①</w:t>
      </w:r>
      <w:r>
        <w:rPr>
          <w:rFonts w:hint="eastAsia" w:ascii="仿宋" w:hAnsi="仿宋" w:eastAsia="仿宋" w:cs="仿宋"/>
          <w:szCs w:val="21"/>
          <w:highlight w:val="none"/>
          <w:u w:val="single"/>
        </w:rPr>
        <w:t>法定代表人身份证明书（或法定代表人授权委托书）及本人身份证</w:t>
      </w:r>
      <w:r>
        <w:rPr>
          <w:rFonts w:hint="eastAsia" w:ascii="仿宋" w:hAnsi="仿宋" w:eastAsia="仿宋" w:cs="仿宋"/>
          <w:szCs w:val="21"/>
          <w:highlight w:val="none"/>
        </w:rPr>
        <w:t>、②</w:t>
      </w:r>
      <w:r>
        <w:rPr>
          <w:rFonts w:hint="eastAsia" w:ascii="仿宋" w:hAnsi="仿宋" w:eastAsia="仿宋" w:cs="仿宋"/>
          <w:szCs w:val="21"/>
          <w:highlight w:val="none"/>
          <w:u w:val="single"/>
        </w:rPr>
        <w:t>营业执照复印件</w:t>
      </w:r>
      <w:r>
        <w:rPr>
          <w:rFonts w:hint="eastAsia" w:ascii="仿宋" w:hAnsi="仿宋" w:eastAsia="仿宋" w:cs="仿宋"/>
          <w:szCs w:val="21"/>
          <w:highlight w:val="none"/>
        </w:rPr>
        <w:t>在凤凰磁浮文化有限责任公司（</w:t>
      </w:r>
      <w:r>
        <w:rPr>
          <w:rFonts w:hint="eastAsia" w:ascii="仿宋" w:hAnsi="仿宋" w:eastAsia="仿宋" w:cs="仿宋"/>
          <w:szCs w:val="21"/>
          <w:highlight w:val="none"/>
          <w:lang w:eastAsia="zh-CN"/>
        </w:rPr>
        <w:t>凤凰县沱江镇大黄土村潭田车辆段综合楼3楼</w:t>
      </w:r>
      <w:r>
        <w:rPr>
          <w:rFonts w:hint="eastAsia" w:ascii="仿宋" w:hAnsi="仿宋" w:eastAsia="仿宋" w:cs="仿宋"/>
          <w:szCs w:val="21"/>
          <w:highlight w:val="none"/>
        </w:rPr>
        <w:t>）获取比选文件及相关资料。</w:t>
      </w:r>
    </w:p>
    <w:p>
      <w:pPr>
        <w:ind w:firstLine="420" w:firstLineChars="200"/>
        <w:rPr>
          <w:rFonts w:hint="default" w:ascii="仿宋" w:hAnsi="仿宋" w:eastAsia="仿宋" w:cs="仿宋"/>
          <w:szCs w:val="21"/>
          <w:highlight w:val="none"/>
          <w:lang w:val="en-US" w:eastAsia="zh-CN"/>
        </w:rPr>
      </w:pPr>
      <w:r>
        <w:rPr>
          <w:rFonts w:hint="eastAsia" w:ascii="仿宋" w:hAnsi="仿宋" w:eastAsia="仿宋" w:cs="仿宋"/>
          <w:szCs w:val="21"/>
          <w:highlight w:val="none"/>
        </w:rPr>
        <w:t>3.2 有意参加比选的申请人应于</w:t>
      </w:r>
      <w:r>
        <w:rPr>
          <w:rFonts w:hint="eastAsia" w:ascii="仿宋" w:hAnsi="仿宋" w:eastAsia="仿宋" w:cs="仿宋"/>
          <w:szCs w:val="21"/>
          <w:highlight w:val="none"/>
          <w:lang w:val="en-US" w:eastAsia="zh-CN"/>
        </w:rPr>
        <w:t>7月4日</w:t>
      </w:r>
      <w:r>
        <w:rPr>
          <w:rFonts w:hint="eastAsia" w:ascii="仿宋" w:hAnsi="仿宋" w:eastAsia="仿宋" w:cs="仿宋"/>
          <w:szCs w:val="21"/>
          <w:highlight w:val="none"/>
        </w:rPr>
        <w:t>17:00时前，以电子邮件的形式告知招标代理以下信息：①参选意向书、②满足参选的资格要求（</w:t>
      </w:r>
      <w:r>
        <w:rPr>
          <w:rFonts w:hint="eastAsia" w:ascii="仿宋" w:hAnsi="仿宋" w:eastAsia="仿宋" w:cs="仿宋"/>
          <w:szCs w:val="21"/>
          <w:highlight w:val="none"/>
          <w:lang w:eastAsia="zh-CN"/>
        </w:rPr>
        <w:t>提供营业执照扫描件资质证书扫描件及处于有效期的安全生产许可证即可</w:t>
      </w:r>
      <w:r>
        <w:rPr>
          <w:rFonts w:hint="eastAsia" w:ascii="仿宋" w:hAnsi="仿宋" w:eastAsia="仿宋" w:cs="仿宋"/>
          <w:szCs w:val="21"/>
          <w:highlight w:val="none"/>
        </w:rPr>
        <w:t>）。</w:t>
      </w:r>
    </w:p>
    <w:p>
      <w:pPr>
        <w:pStyle w:val="29"/>
        <w:adjustRightInd w:val="0"/>
        <w:snapToGrid w:val="0"/>
        <w:spacing w:before="76" w:line="360" w:lineRule="auto"/>
        <w:rPr>
          <w:rFonts w:hint="eastAsia" w:ascii="仿宋" w:hAnsi="仿宋" w:eastAsia="仿宋" w:cs="仿宋"/>
          <w:b/>
          <w:highlight w:val="none"/>
        </w:rPr>
      </w:pPr>
      <w:r>
        <w:rPr>
          <w:rFonts w:hint="eastAsia" w:ascii="仿宋" w:hAnsi="仿宋" w:eastAsia="仿宋" w:cs="仿宋"/>
          <w:b/>
          <w:highlight w:val="none"/>
        </w:rPr>
        <w:t>四、比选文件澄清及答疑</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4.1比选申请人若对比选文件有任何疑问，在</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lang w:eastAsia="zh-CN"/>
        </w:rPr>
        <w:t>日</w:t>
      </w:r>
      <w:r>
        <w:rPr>
          <w:rFonts w:hint="eastAsia" w:ascii="仿宋" w:hAnsi="仿宋" w:eastAsia="仿宋" w:cs="仿宋"/>
          <w:szCs w:val="21"/>
          <w:highlight w:val="none"/>
          <w:lang w:val="en-US" w:eastAsia="zh-CN"/>
        </w:rPr>
        <w:t>19</w:t>
      </w:r>
      <w:r>
        <w:rPr>
          <w:rFonts w:hint="eastAsia" w:ascii="仿宋" w:hAnsi="仿宋" w:eastAsia="仿宋" w:cs="仿宋"/>
          <w:szCs w:val="21"/>
          <w:highlight w:val="none"/>
        </w:rPr>
        <w:t>：00时（含）前向比选人提出，过期不予受理。</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4.2 答疑文件、比选文件修改澄清文件将以书面形式通知。</w:t>
      </w:r>
    </w:p>
    <w:p>
      <w:pPr>
        <w:pStyle w:val="29"/>
        <w:adjustRightInd w:val="0"/>
        <w:snapToGrid w:val="0"/>
        <w:spacing w:before="76" w:line="360" w:lineRule="auto"/>
        <w:rPr>
          <w:rFonts w:hint="eastAsia" w:ascii="仿宋" w:hAnsi="仿宋" w:eastAsia="仿宋" w:cs="仿宋"/>
          <w:b/>
          <w:highlight w:val="none"/>
        </w:rPr>
      </w:pPr>
      <w:r>
        <w:rPr>
          <w:rFonts w:hint="eastAsia" w:ascii="仿宋" w:hAnsi="仿宋" w:eastAsia="仿宋" w:cs="仿宋"/>
          <w:b/>
          <w:highlight w:val="none"/>
        </w:rPr>
        <w:t>五、参选文件的递交</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5.1申请文件递交时间为</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6</w:t>
      </w:r>
      <w:r>
        <w:rPr>
          <w:rFonts w:hint="eastAsia" w:ascii="仿宋" w:hAnsi="仿宋" w:eastAsia="仿宋" w:cs="仿宋"/>
          <w:szCs w:val="21"/>
          <w:highlight w:val="none"/>
          <w:lang w:eastAsia="zh-CN"/>
        </w:rPr>
        <w:t>日</w:t>
      </w:r>
      <w:r>
        <w:rPr>
          <w:rFonts w:hint="eastAsia" w:ascii="仿宋" w:hAnsi="仿宋" w:eastAsia="仿宋" w:cs="仿宋"/>
          <w:szCs w:val="21"/>
          <w:highlight w:val="none"/>
          <w:lang w:val="en-US" w:eastAsia="zh-CN"/>
        </w:rPr>
        <w:t>15</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0</w:t>
      </w:r>
      <w:r>
        <w:rPr>
          <w:rFonts w:hint="eastAsia" w:ascii="仿宋" w:hAnsi="仿宋" w:eastAsia="仿宋" w:cs="仿宋"/>
          <w:szCs w:val="21"/>
          <w:highlight w:val="none"/>
        </w:rPr>
        <w:t>0前（含），地点为凤凰磁浮项目会议室（</w:t>
      </w:r>
      <w:r>
        <w:rPr>
          <w:rFonts w:hint="eastAsia" w:ascii="仿宋" w:hAnsi="仿宋" w:eastAsia="仿宋" w:cs="仿宋"/>
          <w:szCs w:val="21"/>
          <w:highlight w:val="none"/>
          <w:lang w:eastAsia="zh-CN"/>
        </w:rPr>
        <w:t>凤凰县沱江镇大黄土村潭田车辆段综合楼</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lang w:eastAsia="zh-CN"/>
        </w:rPr>
        <w:t>楼</w:t>
      </w:r>
      <w:r>
        <w:rPr>
          <w:rFonts w:hint="eastAsia" w:ascii="仿宋" w:hAnsi="仿宋" w:eastAsia="仿宋" w:cs="仿宋"/>
          <w:szCs w:val="21"/>
          <w:highlight w:val="none"/>
          <w:lang w:val="en-US" w:eastAsia="zh-CN"/>
        </w:rPr>
        <w:t>阅览室</w:t>
      </w:r>
      <w:r>
        <w:rPr>
          <w:rFonts w:hint="eastAsia" w:ascii="仿宋" w:hAnsi="仿宋" w:eastAsia="仿宋" w:cs="仿宋"/>
          <w:szCs w:val="21"/>
          <w:highlight w:val="none"/>
        </w:rPr>
        <w:t>）；竞争性比选会议时间为</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6</w:t>
      </w:r>
      <w:r>
        <w:rPr>
          <w:rFonts w:hint="eastAsia" w:ascii="仿宋" w:hAnsi="仿宋" w:eastAsia="仿宋" w:cs="仿宋"/>
          <w:szCs w:val="21"/>
          <w:highlight w:val="none"/>
          <w:lang w:eastAsia="zh-CN"/>
        </w:rPr>
        <w:t>日</w:t>
      </w:r>
      <w:r>
        <w:rPr>
          <w:rFonts w:hint="eastAsia" w:ascii="仿宋" w:hAnsi="仿宋" w:eastAsia="仿宋" w:cs="仿宋"/>
          <w:szCs w:val="21"/>
          <w:highlight w:val="none"/>
          <w:lang w:val="en-US" w:eastAsia="zh-CN"/>
        </w:rPr>
        <w:t>15</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30</w:t>
      </w:r>
      <w:r>
        <w:rPr>
          <w:rFonts w:hint="eastAsia" w:ascii="仿宋" w:hAnsi="仿宋" w:eastAsia="仿宋" w:cs="仿宋"/>
          <w:szCs w:val="21"/>
          <w:highlight w:val="none"/>
        </w:rPr>
        <w:t>，地点同上。</w:t>
      </w:r>
    </w:p>
    <w:p>
      <w:pPr>
        <w:adjustRightInd w:val="0"/>
        <w:snapToGrid w:val="0"/>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5.2逾期送达或者未送达指定地点的申请文件，比选人不予受理。</w:t>
      </w:r>
    </w:p>
    <w:p>
      <w:pPr>
        <w:pStyle w:val="29"/>
        <w:keepNext w:val="0"/>
        <w:keepLines w:val="0"/>
        <w:pageBreakBefore w:val="0"/>
        <w:widowControl/>
        <w:kinsoku/>
        <w:wordWrap/>
        <w:overflowPunct/>
        <w:topLinePunct w:val="0"/>
        <w:autoSpaceDE/>
        <w:autoSpaceDN/>
        <w:bidi w:val="0"/>
        <w:adjustRightInd w:val="0"/>
        <w:snapToGrid w:val="0"/>
        <w:spacing w:before="76" w:line="240" w:lineRule="auto"/>
        <w:textAlignment w:val="auto"/>
        <w:rPr>
          <w:rFonts w:hint="eastAsia" w:ascii="仿宋" w:hAnsi="仿宋" w:eastAsia="仿宋" w:cs="仿宋"/>
          <w:b/>
          <w:highlight w:val="none"/>
        </w:rPr>
      </w:pPr>
      <w:r>
        <w:rPr>
          <w:rFonts w:hint="eastAsia" w:ascii="仿宋" w:hAnsi="仿宋" w:eastAsia="仿宋" w:cs="仿宋"/>
          <w:b/>
          <w:highlight w:val="none"/>
        </w:rPr>
        <w:t>六、联系方式</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比 选 人：凤凰磁浮文化旅游有限责任公司</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 xml:space="preserve">地　　址： </w:t>
      </w:r>
      <w:r>
        <w:rPr>
          <w:rFonts w:hint="eastAsia" w:ascii="仿宋" w:hAnsi="仿宋" w:eastAsia="仿宋" w:cs="仿宋"/>
          <w:szCs w:val="21"/>
          <w:highlight w:val="none"/>
          <w:lang w:eastAsia="zh-CN"/>
        </w:rPr>
        <w:t>凤凰县沱江镇大黄土村潭田车辆段综合楼3楼</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邮　　编：410000</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联 系 人：陈伟</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联系电话：18684817217            </w:t>
      </w:r>
    </w:p>
    <w:p>
      <w:pPr>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电子邮件（E-mail）：303283314@qq.com  </w:t>
      </w:r>
    </w:p>
    <w:p>
      <w:pPr>
        <w:pStyle w:val="2"/>
        <w:rPr>
          <w:rFonts w:hint="eastAsia"/>
        </w:rPr>
      </w:pP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招标代理服务机构：</w:t>
      </w:r>
      <w:r>
        <w:rPr>
          <w:rFonts w:hint="eastAsia" w:ascii="仿宋" w:hAnsi="仿宋" w:eastAsia="仿宋" w:cs="仿宋"/>
          <w:szCs w:val="21"/>
          <w:highlight w:val="none"/>
          <w:lang w:val="en-US" w:eastAsia="zh-CN"/>
        </w:rPr>
        <w:t xml:space="preserve"> </w:t>
      </w:r>
    </w:p>
    <w:p>
      <w:pPr>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联系人：</w:t>
      </w:r>
      <w:r>
        <w:rPr>
          <w:rFonts w:hint="eastAsia" w:ascii="仿宋" w:hAnsi="仿宋" w:eastAsia="仿宋" w:cs="仿宋"/>
          <w:szCs w:val="21"/>
          <w:highlight w:val="none"/>
          <w:lang w:val="en-US" w:eastAsia="zh-CN"/>
        </w:rPr>
        <w:t>陈进良</w:t>
      </w:r>
    </w:p>
    <w:p>
      <w:pPr>
        <w:spacing w:line="360" w:lineRule="auto"/>
        <w:ind w:firstLine="420" w:firstLineChars="200"/>
        <w:rPr>
          <w:rFonts w:hint="default" w:ascii="仿宋" w:hAnsi="仿宋" w:eastAsia="仿宋" w:cs="仿宋"/>
          <w:szCs w:val="21"/>
          <w:highlight w:val="none"/>
          <w:lang w:val="en-US" w:eastAsia="zh-CN"/>
        </w:rPr>
      </w:pPr>
      <w:r>
        <w:rPr>
          <w:rFonts w:hint="eastAsia" w:ascii="仿宋" w:hAnsi="仿宋" w:eastAsia="仿宋" w:cs="仿宋"/>
          <w:szCs w:val="21"/>
          <w:highlight w:val="none"/>
        </w:rPr>
        <w:t>联系电话：</w:t>
      </w:r>
      <w:r>
        <w:rPr>
          <w:rFonts w:hint="eastAsia" w:ascii="仿宋" w:hAnsi="仿宋" w:eastAsia="仿宋" w:cs="仿宋"/>
          <w:szCs w:val="21"/>
          <w:highlight w:val="none"/>
          <w:lang w:val="en-US" w:eastAsia="zh-CN"/>
        </w:rPr>
        <w:t>13341312030</w:t>
      </w:r>
    </w:p>
    <w:p>
      <w:pPr>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rPr>
        <w:t>电子邮件（E-mail）：</w:t>
      </w:r>
      <w:r>
        <w:rPr>
          <w:rFonts w:hint="eastAsia" w:ascii="仿宋" w:hAnsi="仿宋" w:eastAsia="仿宋" w:cs="仿宋"/>
          <w:szCs w:val="21"/>
          <w:highlight w:val="none"/>
          <w:lang w:val="en-US" w:eastAsia="zh-CN"/>
        </w:rPr>
        <w:fldChar w:fldCharType="begin"/>
      </w:r>
      <w:r>
        <w:rPr>
          <w:rFonts w:hint="eastAsia" w:ascii="仿宋" w:hAnsi="仿宋" w:eastAsia="仿宋" w:cs="仿宋"/>
          <w:szCs w:val="21"/>
          <w:highlight w:val="none"/>
          <w:lang w:val="en-US" w:eastAsia="zh-CN"/>
        </w:rPr>
        <w:instrText xml:space="preserve"> HYPERLINK "mailto:75366570@qq.com" </w:instrText>
      </w:r>
      <w:r>
        <w:rPr>
          <w:rFonts w:hint="eastAsia" w:ascii="仿宋" w:hAnsi="仿宋" w:eastAsia="仿宋" w:cs="仿宋"/>
          <w:szCs w:val="21"/>
          <w:highlight w:val="none"/>
          <w:lang w:val="en-US" w:eastAsia="zh-CN"/>
        </w:rPr>
        <w:fldChar w:fldCharType="separate"/>
      </w:r>
      <w:r>
        <w:rPr>
          <w:rStyle w:val="39"/>
          <w:rFonts w:hint="eastAsia" w:ascii="仿宋" w:hAnsi="仿宋" w:eastAsia="仿宋" w:cs="仿宋"/>
          <w:szCs w:val="21"/>
          <w:highlight w:val="none"/>
          <w:lang w:val="en-US" w:eastAsia="zh-CN"/>
        </w:rPr>
        <w:t>75366570@qq.com</w:t>
      </w:r>
      <w:r>
        <w:rPr>
          <w:rFonts w:hint="eastAsia" w:ascii="仿宋" w:hAnsi="仿宋" w:eastAsia="仿宋" w:cs="仿宋"/>
          <w:szCs w:val="21"/>
          <w:highlight w:val="none"/>
          <w:lang w:val="en-US" w:eastAsia="zh-CN"/>
        </w:rPr>
        <w:fldChar w:fldCharType="end"/>
      </w:r>
    </w:p>
    <w:p>
      <w:pPr>
        <w:pStyle w:val="2"/>
        <w:rPr>
          <w:rFonts w:hint="eastAsia"/>
          <w:lang w:val="en-US" w:eastAsia="zh-CN"/>
        </w:rPr>
      </w:pPr>
    </w:p>
    <w:p>
      <w:pPr>
        <w:spacing w:line="360" w:lineRule="auto"/>
        <w:ind w:left="0" w:leftChars="0"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监督部门：湖南磁浮集团股份有限公司党群人资（纪检监察）部</w:t>
      </w:r>
    </w:p>
    <w:p>
      <w:pPr>
        <w:spacing w:line="360" w:lineRule="auto"/>
        <w:ind w:left="0" w:leftChars="0"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联系电话：0731-84263850</w:t>
      </w:r>
    </w:p>
    <w:p>
      <w:pPr>
        <w:pStyle w:val="2"/>
        <w:rPr>
          <w:rFonts w:hint="eastAsia"/>
          <w:lang w:val="en-US" w:eastAsia="zh-CN"/>
        </w:rPr>
      </w:pPr>
    </w:p>
    <w:p>
      <w:pPr>
        <w:spacing w:after="0" w:line="300" w:lineRule="auto"/>
        <w:ind w:firstLine="420" w:firstLineChars="200"/>
        <w:rPr>
          <w:rFonts w:hint="eastAsia" w:ascii="Arial" w:hAnsi="Arial" w:eastAsia="宋体" w:cs="Arial"/>
          <w:b/>
          <w:bCs w:val="0"/>
          <w:color w:val="auto"/>
          <w:kern w:val="0"/>
          <w:sz w:val="21"/>
          <w:szCs w:val="21"/>
          <w:highlight w:val="none"/>
        </w:rPr>
      </w:pPr>
      <w:r>
        <w:rPr>
          <w:rFonts w:hint="eastAsia" w:ascii="Arial" w:hAnsi="Arial" w:eastAsia="宋体" w:cs="Arial"/>
          <w:b/>
          <w:bCs w:val="0"/>
          <w:color w:val="auto"/>
          <w:kern w:val="0"/>
          <w:sz w:val="21"/>
          <w:szCs w:val="21"/>
          <w:highlight w:val="none"/>
        </w:rPr>
        <w:t>注：1、疫情期间，</w:t>
      </w:r>
      <w:r>
        <w:rPr>
          <w:rFonts w:hint="eastAsia" w:ascii="Arial" w:hAnsi="Arial" w:cs="Arial"/>
          <w:b/>
          <w:bCs w:val="0"/>
          <w:color w:val="auto"/>
          <w:kern w:val="0"/>
          <w:sz w:val="21"/>
          <w:szCs w:val="21"/>
          <w:highlight w:val="none"/>
          <w:lang w:eastAsia="zh-CN"/>
        </w:rPr>
        <w:t>比选申请人</w:t>
      </w:r>
      <w:r>
        <w:rPr>
          <w:rFonts w:hint="eastAsia" w:ascii="Arial" w:hAnsi="Arial" w:eastAsia="宋体" w:cs="Arial"/>
          <w:b/>
          <w:bCs w:val="0"/>
          <w:color w:val="auto"/>
          <w:kern w:val="0"/>
          <w:sz w:val="21"/>
          <w:szCs w:val="21"/>
          <w:highlight w:val="none"/>
        </w:rPr>
        <w:t>必须按照湘西州疫情防控最新要求做好疫情防控，因防控疫情原因影响正常投标的，责任由各</w:t>
      </w:r>
      <w:r>
        <w:rPr>
          <w:rFonts w:hint="eastAsia" w:ascii="Arial" w:hAnsi="Arial" w:cs="Arial"/>
          <w:b/>
          <w:bCs w:val="0"/>
          <w:color w:val="auto"/>
          <w:kern w:val="0"/>
          <w:sz w:val="21"/>
          <w:szCs w:val="21"/>
          <w:highlight w:val="none"/>
          <w:lang w:eastAsia="zh-CN"/>
        </w:rPr>
        <w:t>比选申请人</w:t>
      </w:r>
      <w:r>
        <w:rPr>
          <w:rFonts w:hint="eastAsia" w:ascii="Arial" w:hAnsi="Arial" w:eastAsia="宋体" w:cs="Arial"/>
          <w:b/>
          <w:bCs w:val="0"/>
          <w:color w:val="auto"/>
          <w:kern w:val="0"/>
          <w:sz w:val="21"/>
          <w:szCs w:val="21"/>
          <w:highlight w:val="none"/>
        </w:rPr>
        <w:t>自行承担。</w:t>
      </w:r>
    </w:p>
    <w:p>
      <w:pPr>
        <w:ind w:firstLine="420" w:firstLineChars="200"/>
        <w:rPr>
          <w:rFonts w:hint="eastAsia" w:ascii="仿宋" w:hAnsi="仿宋" w:eastAsia="仿宋" w:cs="仿宋"/>
          <w:sz w:val="32"/>
          <w:szCs w:val="32"/>
          <w:highlight w:val="none"/>
        </w:rPr>
      </w:pPr>
      <w:r>
        <w:rPr>
          <w:rFonts w:hint="eastAsia" w:ascii="Arial" w:hAnsi="Arial" w:cs="Arial"/>
          <w:b/>
          <w:bCs w:val="0"/>
          <w:color w:val="auto"/>
          <w:kern w:val="0"/>
          <w:sz w:val="21"/>
          <w:szCs w:val="21"/>
          <w:highlight w:val="none"/>
          <w:lang w:val="en-US" w:eastAsia="zh-CN"/>
        </w:rPr>
        <w:t>2、</w:t>
      </w:r>
      <w:r>
        <w:rPr>
          <w:rFonts w:hint="eastAsia" w:ascii="Arial" w:hAnsi="Arial" w:cs="Arial"/>
          <w:b/>
          <w:bCs w:val="0"/>
          <w:color w:val="auto"/>
          <w:kern w:val="0"/>
          <w:sz w:val="21"/>
          <w:szCs w:val="21"/>
          <w:highlight w:val="none"/>
          <w:lang w:eastAsia="zh-CN"/>
        </w:rPr>
        <w:t>比选申请人</w:t>
      </w:r>
      <w:r>
        <w:rPr>
          <w:rFonts w:hint="eastAsia" w:ascii="Arial" w:hAnsi="Arial" w:eastAsia="宋体" w:cs="Arial"/>
          <w:b/>
          <w:bCs w:val="0"/>
          <w:color w:val="auto"/>
          <w:kern w:val="0"/>
          <w:sz w:val="21"/>
          <w:szCs w:val="21"/>
          <w:highlight w:val="none"/>
        </w:rPr>
        <w:t>必须按照湘西州疫情防控最新要求做好疫情防控的各项工作，持符合要求的证件进场，如：健康码、行程码以及配戴口罩等入场参加招标价会，</w:t>
      </w:r>
      <w:r>
        <w:rPr>
          <w:rFonts w:hint="eastAsia" w:ascii="Arial" w:hAnsi="Arial" w:cs="Arial"/>
          <w:b/>
          <w:bCs w:val="0"/>
          <w:color w:val="auto"/>
          <w:kern w:val="0"/>
          <w:sz w:val="21"/>
          <w:szCs w:val="21"/>
          <w:highlight w:val="none"/>
          <w:lang w:eastAsia="zh-CN"/>
        </w:rPr>
        <w:t>比选申请人</w:t>
      </w:r>
      <w:r>
        <w:rPr>
          <w:rFonts w:hint="eastAsia" w:ascii="Arial" w:hAnsi="Arial" w:eastAsia="宋体" w:cs="Arial"/>
          <w:b/>
          <w:bCs w:val="0"/>
          <w:color w:val="auto"/>
          <w:kern w:val="0"/>
          <w:sz w:val="21"/>
          <w:szCs w:val="21"/>
          <w:highlight w:val="none"/>
        </w:rPr>
        <w:t>原则上只派一人参加投标活动。</w:t>
      </w:r>
      <w:r>
        <w:rPr>
          <w:rFonts w:hint="eastAsia" w:ascii="仿宋" w:hAnsi="仿宋" w:eastAsia="仿宋" w:cs="仿宋"/>
          <w:sz w:val="32"/>
          <w:szCs w:val="32"/>
          <w:highlight w:val="none"/>
        </w:rPr>
        <w:br w:type="page"/>
      </w:r>
    </w:p>
    <w:p>
      <w:pPr>
        <w:spacing w:line="360" w:lineRule="auto"/>
        <w:ind w:firstLine="640" w:firstLineChars="20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第二章  比选申请人须知</w:t>
      </w:r>
      <w:bookmarkEnd w:id="4"/>
      <w:bookmarkEnd w:id="5"/>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比选申请人须知前附表</w:t>
      </w:r>
    </w:p>
    <w:tbl>
      <w:tblPr>
        <w:tblStyle w:val="33"/>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602"/>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jc w:val="center"/>
              <w:textAlignment w:val="baseline"/>
              <w:rPr>
                <w:rFonts w:hint="eastAsia" w:ascii="仿宋" w:hAnsi="仿宋" w:eastAsia="仿宋" w:cs="仿宋"/>
                <w:szCs w:val="21"/>
                <w:highlight w:val="none"/>
              </w:rPr>
            </w:pPr>
            <w:r>
              <w:rPr>
                <w:rFonts w:hint="eastAsia" w:ascii="仿宋" w:hAnsi="仿宋" w:eastAsia="仿宋" w:cs="仿宋"/>
                <w:b/>
                <w:bCs/>
                <w:szCs w:val="21"/>
                <w:highlight w:val="none"/>
              </w:rPr>
              <w:t>序号</w:t>
            </w:r>
          </w:p>
        </w:tc>
        <w:tc>
          <w:tcPr>
            <w:tcW w:w="2602" w:type="dxa"/>
            <w:noWrap w:val="0"/>
            <w:vAlign w:val="center"/>
          </w:tcPr>
          <w:p>
            <w:pPr>
              <w:jc w:val="center"/>
              <w:rPr>
                <w:rFonts w:hint="eastAsia" w:ascii="仿宋" w:hAnsi="仿宋" w:eastAsia="仿宋" w:cs="仿宋"/>
                <w:szCs w:val="21"/>
                <w:highlight w:val="none"/>
              </w:rPr>
            </w:pPr>
            <w:r>
              <w:rPr>
                <w:rFonts w:hint="eastAsia" w:ascii="仿宋" w:hAnsi="仿宋" w:eastAsia="仿宋" w:cs="仿宋"/>
                <w:b/>
                <w:bCs/>
                <w:szCs w:val="21"/>
                <w:highlight w:val="none"/>
              </w:rPr>
              <w:t>条款名称</w:t>
            </w:r>
          </w:p>
        </w:tc>
        <w:tc>
          <w:tcPr>
            <w:tcW w:w="6162" w:type="dxa"/>
            <w:noWrap w:val="0"/>
            <w:vAlign w:val="center"/>
          </w:tcPr>
          <w:p>
            <w:pPr>
              <w:spacing w:line="360" w:lineRule="auto"/>
              <w:jc w:val="center"/>
              <w:rPr>
                <w:rFonts w:hint="eastAsia" w:ascii="仿宋" w:hAnsi="仿宋" w:eastAsia="仿宋" w:cs="仿宋"/>
                <w:szCs w:val="21"/>
                <w:highlight w:val="none"/>
              </w:rPr>
            </w:pPr>
            <w:r>
              <w:rPr>
                <w:rFonts w:hint="eastAsia" w:ascii="仿宋" w:hAnsi="仿宋" w:eastAsia="仿宋" w:cs="仿宋"/>
                <w:b/>
                <w:bCs/>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比选人</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比 选 人：凤凰磁浮文化旅游有限责任公司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地　　址：</w:t>
            </w:r>
            <w:r>
              <w:rPr>
                <w:rFonts w:hint="eastAsia" w:ascii="仿宋" w:hAnsi="仿宋" w:eastAsia="仿宋" w:cs="仿宋"/>
                <w:szCs w:val="21"/>
                <w:highlight w:val="none"/>
                <w:lang w:eastAsia="zh-CN"/>
              </w:rPr>
              <w:t>凤凰县沱江镇大黄土村潭田车辆段综合楼3楼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项目名称</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color w:val="auto"/>
                <w:szCs w:val="21"/>
                <w:highlight w:val="none"/>
                <w:lang w:eastAsia="zh-CN"/>
              </w:rPr>
              <w:t>凤凰磁浮观光快线车站固定艺术装置设计、制作及安装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3</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服务地点</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本项目位于凤凰县境内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4</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资金来源</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szCs w:val="21"/>
                <w:highlight w:val="none"/>
              </w:rPr>
            </w:pPr>
            <w:r>
              <w:rPr>
                <w:rFonts w:hint="eastAsia" w:ascii="仿宋" w:hAnsi="仿宋" w:eastAsia="仿宋" w:cs="仿宋"/>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5</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比选范围</w:t>
            </w:r>
          </w:p>
        </w:tc>
        <w:tc>
          <w:tcPr>
            <w:tcW w:w="6162" w:type="dxa"/>
            <w:noWrap w:val="0"/>
            <w:vAlign w:val="center"/>
          </w:tcPr>
          <w:p>
            <w:pPr>
              <w:adjustRightInd w:val="0"/>
              <w:snapToGrid w:val="0"/>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定制IP形象玻璃钢22个（不同造型），制作工艺要求使用4层纤维网，连接处使用钢龙骨，同时要求设计22个不同姿态3D模型，摆放位置如下：凤凰古城（磁浮）站布置6个，均为站姿，其中1.6m高4个（站厅层1个，站台层3个），1.8m高2个（布置在站厅层入口两侧）；凤凰迎宾站布置4个，均位于站台层，其中1.2m高2个（坐姿），1.6m高2个（站姿）；凤凰揽胜站共布置8个，均为站姿，一层1个（1.8m），二层3个（1.6m），三层4个（1.8m、2.2m、1.6m*2）；凤凰等待站布置IP形象4个，均位于站台层，其中1.2m高2个（坐姿），1.6m高2个（站姿）。定制固定网红拍照打卡点3个，凤凰古城站放置大型网红拍照相框2个，凤凰等待站放置IP形象拍照点1个。</w:t>
            </w:r>
          </w:p>
          <w:p>
            <w:pPr>
              <w:adjustRightInd w:val="0"/>
              <w:snapToGrid w:val="0"/>
              <w:spacing w:line="360" w:lineRule="auto"/>
              <w:ind w:firstLine="420" w:firstLineChars="200"/>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定制固定互动艺术装置三套，凤凰揽胜站站台层布置多人秋千1套，长度不低于6米；在凤凰揽胜站站厅层布置艺术秋千2套，秋千直径不低于1m，；在凤凰揽胜站一层布置体感互动翅膀一套，高度不低于3m。所有互动艺术装置均需进行深化美陈设计，并对其周边环境进行美化和施工，赋予艺术装置“凤凰磁浮文旅”的独有属性，达到吸引游客拍照打卡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6</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计划工期</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计划工期：</w:t>
            </w:r>
            <w:r>
              <w:rPr>
                <w:rFonts w:hint="eastAsia" w:ascii="仿宋" w:hAnsi="仿宋" w:eastAsia="仿宋" w:cs="仿宋"/>
                <w:color w:val="000000"/>
                <w:szCs w:val="21"/>
                <w:highlight w:val="none"/>
                <w:lang w:eastAsia="zh-CN"/>
              </w:rPr>
              <w:t>合同签订日起</w:t>
            </w:r>
            <w:r>
              <w:rPr>
                <w:rFonts w:hint="eastAsia" w:ascii="仿宋" w:hAnsi="仿宋" w:eastAsia="仿宋" w:cs="仿宋"/>
                <w:color w:val="000000"/>
                <w:szCs w:val="21"/>
                <w:highlight w:val="none"/>
                <w:lang w:val="en-US" w:eastAsia="zh-CN"/>
              </w:rPr>
              <w:t>60</w:t>
            </w:r>
            <w:r>
              <w:rPr>
                <w:rFonts w:hint="eastAsia" w:ascii="仿宋" w:hAnsi="仿宋" w:eastAsia="仿宋" w:cs="仿宋"/>
                <w:color w:val="000000"/>
                <w:szCs w:val="21"/>
                <w:highlight w:val="none"/>
                <w:lang w:eastAsia="zh-CN"/>
              </w:rPr>
              <w:t>个自然日。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7</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资格要求</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1</w:t>
            </w:r>
            <w:r>
              <w:rPr>
                <w:rFonts w:hint="eastAsia" w:ascii="仿宋" w:hAnsi="仿宋" w:eastAsia="仿宋" w:cs="仿宋"/>
                <w:szCs w:val="21"/>
                <w:highlight w:val="none"/>
                <w:lang w:val="en-US" w:eastAsia="zh-CN"/>
              </w:rPr>
              <w:t>.</w:t>
            </w:r>
            <w:r>
              <w:rPr>
                <w:rFonts w:hint="eastAsia" w:ascii="仿宋" w:hAnsi="仿宋" w:eastAsia="仿宋" w:cs="仿宋"/>
                <w:szCs w:val="21"/>
                <w:highlight w:val="none"/>
                <w:lang w:eastAsia="zh-CN"/>
              </w:rPr>
              <w:t>具有独立法人资格并依法取得企业营业执照，营业执照处于有效期，营业执照的经营范围应满足承接本项目业务的要求；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2. 近三年具有一个</w:t>
            </w:r>
            <w:r>
              <w:rPr>
                <w:rFonts w:hint="eastAsia" w:ascii="仿宋" w:hAnsi="仿宋" w:eastAsia="仿宋" w:cs="仿宋"/>
                <w:szCs w:val="21"/>
                <w:highlight w:val="none"/>
                <w:lang w:val="en-US" w:eastAsia="zh-CN"/>
              </w:rPr>
              <w:t>艺术装置施工类似业绩</w:t>
            </w:r>
            <w:r>
              <w:rPr>
                <w:rFonts w:hint="eastAsia" w:ascii="仿宋" w:hAnsi="仿宋" w:eastAsia="仿宋" w:cs="仿宋"/>
                <w:szCs w:val="21"/>
                <w:highlight w:val="none"/>
                <w:lang w:eastAsia="zh-CN"/>
              </w:rPr>
              <w:t>（提供合同复印件）；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3</w:t>
            </w:r>
            <w:r>
              <w:rPr>
                <w:rFonts w:hint="eastAsia" w:ascii="仿宋" w:hAnsi="仿宋" w:eastAsia="仿宋" w:cs="仿宋"/>
                <w:szCs w:val="21"/>
                <w:highlight w:val="none"/>
                <w:lang w:val="en-US" w:eastAsia="zh-CN"/>
              </w:rPr>
              <w:t>.</w:t>
            </w:r>
            <w:r>
              <w:rPr>
                <w:rFonts w:hint="eastAsia" w:ascii="仿宋" w:hAnsi="仿宋" w:eastAsia="仿宋" w:cs="仿宋"/>
                <w:szCs w:val="21"/>
                <w:highlight w:val="none"/>
                <w:lang w:eastAsia="zh-CN"/>
              </w:rPr>
              <w:t>本项目不接受联合体参加比选；</w:t>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4</w:t>
            </w:r>
            <w:r>
              <w:rPr>
                <w:rFonts w:hint="eastAsia" w:ascii="仿宋" w:hAnsi="仿宋" w:eastAsia="仿宋" w:cs="仿宋"/>
                <w:szCs w:val="21"/>
                <w:highlight w:val="none"/>
                <w:lang w:val="en-US" w:eastAsia="zh-CN"/>
              </w:rPr>
              <w:t>.</w:t>
            </w:r>
            <w:r>
              <w:rPr>
                <w:rFonts w:hint="eastAsia" w:ascii="仿宋" w:hAnsi="仿宋" w:eastAsia="仿宋" w:cs="仿宋"/>
                <w:szCs w:val="21"/>
                <w:highlight w:val="none"/>
                <w:lang w:eastAsia="zh-CN"/>
              </w:rPr>
              <w:t>须确保没有处于被责令停业或破产的状态。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8</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是否接受联合体参加比选</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本项目不接受联合体参加比选。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9</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比选文件的获取</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凡有意参加比选者应于</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6</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30</w:t>
            </w:r>
            <w:r>
              <w:rPr>
                <w:rFonts w:hint="eastAsia" w:ascii="仿宋" w:hAnsi="仿宋" w:eastAsia="仿宋" w:cs="仿宋"/>
                <w:szCs w:val="21"/>
                <w:highlight w:val="none"/>
                <w:lang w:eastAsia="zh-CN"/>
              </w:rPr>
              <w:t>日</w:t>
            </w:r>
            <w:r>
              <w:rPr>
                <w:rFonts w:hint="eastAsia" w:ascii="仿宋" w:hAnsi="仿宋" w:eastAsia="仿宋" w:cs="仿宋"/>
                <w:szCs w:val="21"/>
                <w:highlight w:val="none"/>
              </w:rPr>
              <w:t>至</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lang w:eastAsia="zh-CN"/>
              </w:rPr>
              <w:t>日</w:t>
            </w:r>
            <w:r>
              <w:rPr>
                <w:rFonts w:hint="eastAsia" w:ascii="仿宋" w:hAnsi="仿宋" w:eastAsia="仿宋" w:cs="仿宋"/>
                <w:szCs w:val="21"/>
                <w:highlight w:val="none"/>
              </w:rPr>
              <w:t>17:00时前（北京时间，下同），持（1）法定代表人（或委托代理人）持法定代表人身份证明书（或法定代表人授权委托书）及本人身份证；（2）营业执照；在凤凰磁浮文化有限责任公司获取比选文件及相关资料，或直接在线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10</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 xml:space="preserve">         答疑</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1.比选申请人若对比选文件有任何疑问，在</w:t>
            </w: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lang w:eastAsia="zh-CN"/>
              </w:rPr>
              <w:t>日</w:t>
            </w:r>
            <w:r>
              <w:rPr>
                <w:rFonts w:hint="eastAsia" w:ascii="仿宋" w:hAnsi="仿宋" w:eastAsia="仿宋" w:cs="仿宋"/>
                <w:szCs w:val="21"/>
                <w:highlight w:val="none"/>
                <w:lang w:val="en-US" w:eastAsia="zh-CN"/>
              </w:rPr>
              <w:t>19</w:t>
            </w:r>
            <w:r>
              <w:rPr>
                <w:rFonts w:hint="eastAsia" w:ascii="仿宋" w:hAnsi="仿宋" w:eastAsia="仿宋" w:cs="仿宋"/>
                <w:szCs w:val="21"/>
                <w:highlight w:val="none"/>
              </w:rPr>
              <w:t>：00时（含）前向比选人提出，过期不予受理。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2.答疑文件、比选文件修改澄清文件将以书面形式通知。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11</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比选申请人提出质疑的截止时间</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lang w:eastAsia="zh-CN"/>
              </w:rPr>
              <w:t>2022年</w:t>
            </w:r>
            <w:r>
              <w:rPr>
                <w:rFonts w:hint="eastAsia" w:ascii="仿宋" w:hAnsi="仿宋" w:eastAsia="仿宋" w:cs="仿宋"/>
                <w:szCs w:val="21"/>
                <w:highlight w:val="none"/>
                <w:lang w:val="en-US" w:eastAsia="zh-CN"/>
              </w:rPr>
              <w:t>7</w:t>
            </w:r>
            <w:r>
              <w:rPr>
                <w:rFonts w:hint="eastAsia" w:ascii="仿宋" w:hAnsi="仿宋" w:eastAsia="仿宋" w:cs="仿宋"/>
                <w:szCs w:val="21"/>
                <w:highlight w:val="none"/>
                <w:lang w:eastAsia="zh-CN"/>
              </w:rPr>
              <w:t>月</w:t>
            </w:r>
            <w:r>
              <w:rPr>
                <w:rFonts w:hint="eastAsia" w:ascii="仿宋" w:hAnsi="仿宋" w:eastAsia="仿宋" w:cs="仿宋"/>
                <w:szCs w:val="21"/>
                <w:highlight w:val="none"/>
                <w:lang w:val="en-US" w:eastAsia="zh-CN"/>
              </w:rPr>
              <w:t>4</w:t>
            </w:r>
            <w:r>
              <w:rPr>
                <w:rFonts w:hint="eastAsia" w:ascii="仿宋" w:hAnsi="仿宋" w:eastAsia="仿宋" w:cs="仿宋"/>
                <w:szCs w:val="21"/>
                <w:highlight w:val="none"/>
                <w:lang w:eastAsia="zh-CN"/>
              </w:rPr>
              <w:t>日</w:t>
            </w:r>
            <w:r>
              <w:rPr>
                <w:rFonts w:hint="eastAsia" w:ascii="仿宋" w:hAnsi="仿宋" w:eastAsia="仿宋" w:cs="仿宋"/>
                <w:szCs w:val="21"/>
                <w:highlight w:val="none"/>
                <w:lang w:val="en-US" w:eastAsia="zh-CN"/>
              </w:rPr>
              <w:t>19</w:t>
            </w:r>
            <w:r>
              <w:rPr>
                <w:rFonts w:hint="eastAsia" w:ascii="仿宋" w:hAnsi="仿宋" w:eastAsia="仿宋" w:cs="仿宋"/>
                <w:szCs w:val="21"/>
                <w:highlight w:val="none"/>
              </w:rPr>
              <w:t>:00时（北京时间，下同）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12</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比选文件澄清的截止时间</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比选截止时间3天前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13</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 xml:space="preserve"> 偏 离</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szCs w:val="21"/>
                <w:highlight w:val="none"/>
              </w:rPr>
            </w:pPr>
            <w:r>
              <w:rPr>
                <w:rFonts w:hint="eastAsia" w:ascii="仿宋" w:hAnsi="仿宋" w:eastAsia="仿宋" w:cs="仿宋"/>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14</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 xml:space="preserve"> 比选有效期</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szCs w:val="21"/>
                <w:highlight w:val="none"/>
              </w:rPr>
            </w:pPr>
            <w:r>
              <w:rPr>
                <w:rFonts w:hint="eastAsia" w:ascii="仿宋" w:hAnsi="仿宋" w:eastAsia="仿宋" w:cs="仿宋"/>
                <w:szCs w:val="21"/>
                <w:highlight w:val="none"/>
              </w:rPr>
              <w:t>比选截止日起90日历天内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15</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参选文件份数</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Cs w:val="21"/>
                <w:highlight w:val="none"/>
              </w:rPr>
            </w:pPr>
            <w:r>
              <w:rPr>
                <w:rFonts w:hint="eastAsia" w:ascii="仿宋" w:hAnsi="仿宋" w:eastAsia="仿宋" w:cs="仿宋"/>
                <w:kern w:val="0"/>
                <w:szCs w:val="21"/>
                <w:highlight w:val="none"/>
              </w:rPr>
              <w:t>一式伍份，正本壹份，副本肆份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16</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highlight w:val="none"/>
              </w:rPr>
              <w:t xml:space="preserve"> 装订要求</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kern w:val="0"/>
                <w:szCs w:val="21"/>
                <w:highlight w:val="none"/>
              </w:rPr>
            </w:pPr>
            <w:r>
              <w:rPr>
                <w:rFonts w:hint="eastAsia" w:ascii="仿宋" w:hAnsi="仿宋" w:eastAsia="仿宋" w:cs="仿宋"/>
                <w:kern w:val="0"/>
                <w:szCs w:val="21"/>
                <w:highlight w:val="none"/>
              </w:rPr>
              <w:t>参选文件及资格审查资料复印件均要求采用胶装方式装订，装订应牢固、不易拆散和换页，不得采用活页装订。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17</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参选文件送达地点</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详见比选邀请函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18</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比选文件投递截止时间</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Cs w:val="21"/>
                <w:highlight w:val="none"/>
              </w:rPr>
            </w:pPr>
            <w:r>
              <w:rPr>
                <w:rFonts w:hint="eastAsia" w:ascii="仿宋" w:hAnsi="仿宋" w:eastAsia="仿宋" w:cs="仿宋"/>
                <w:kern w:val="0"/>
                <w:szCs w:val="21"/>
                <w:highlight w:val="none"/>
                <w:lang w:eastAsia="zh-CN"/>
              </w:rPr>
              <w:t>2022年</w:t>
            </w:r>
            <w:r>
              <w:rPr>
                <w:rFonts w:hint="eastAsia" w:ascii="仿宋" w:hAnsi="仿宋" w:eastAsia="仿宋" w:cs="仿宋"/>
                <w:kern w:val="0"/>
                <w:szCs w:val="21"/>
                <w:highlight w:val="none"/>
                <w:lang w:val="en-US" w:eastAsia="zh-CN"/>
              </w:rPr>
              <w:t>7</w:t>
            </w:r>
            <w:r>
              <w:rPr>
                <w:rFonts w:hint="eastAsia" w:ascii="仿宋" w:hAnsi="仿宋" w:eastAsia="仿宋" w:cs="仿宋"/>
                <w:kern w:val="0"/>
                <w:szCs w:val="21"/>
                <w:highlight w:val="none"/>
                <w:lang w:eastAsia="zh-CN"/>
              </w:rPr>
              <w:t>月</w:t>
            </w:r>
            <w:r>
              <w:rPr>
                <w:rFonts w:hint="eastAsia" w:ascii="仿宋" w:hAnsi="仿宋" w:eastAsia="仿宋" w:cs="仿宋"/>
                <w:kern w:val="0"/>
                <w:szCs w:val="21"/>
                <w:highlight w:val="none"/>
                <w:lang w:val="en-US" w:eastAsia="zh-CN"/>
              </w:rPr>
              <w:t>6</w:t>
            </w:r>
            <w:r>
              <w:rPr>
                <w:rFonts w:hint="eastAsia" w:ascii="仿宋" w:hAnsi="仿宋" w:eastAsia="仿宋" w:cs="仿宋"/>
                <w:kern w:val="0"/>
                <w:szCs w:val="21"/>
                <w:highlight w:val="none"/>
                <w:lang w:eastAsia="zh-CN"/>
              </w:rPr>
              <w:t>日</w:t>
            </w:r>
            <w:r>
              <w:rPr>
                <w:rFonts w:hint="eastAsia" w:ascii="仿宋" w:hAnsi="仿宋" w:eastAsia="仿宋" w:cs="仿宋"/>
                <w:kern w:val="0"/>
                <w:szCs w:val="21"/>
                <w:highlight w:val="none"/>
                <w:lang w:val="en-US" w:eastAsia="zh-CN"/>
              </w:rPr>
              <w:t>15</w:t>
            </w:r>
            <w:r>
              <w:rPr>
                <w:rFonts w:hint="eastAsia" w:ascii="仿宋" w:hAnsi="仿宋" w:eastAsia="仿宋" w:cs="仿宋"/>
                <w:kern w:val="0"/>
                <w:szCs w:val="21"/>
                <w:highlight w:val="none"/>
              </w:rPr>
              <w:t>：</w:t>
            </w:r>
            <w:r>
              <w:rPr>
                <w:rFonts w:hint="eastAsia" w:ascii="仿宋" w:hAnsi="仿宋" w:eastAsia="仿宋" w:cs="仿宋"/>
                <w:kern w:val="0"/>
                <w:szCs w:val="21"/>
                <w:highlight w:val="none"/>
                <w:lang w:val="en-US" w:eastAsia="zh-CN"/>
              </w:rPr>
              <w:t>00</w:t>
            </w:r>
            <w:r>
              <w:rPr>
                <w:rFonts w:hint="eastAsia" w:ascii="仿宋" w:hAnsi="仿宋" w:eastAsia="仿宋" w:cs="仿宋"/>
                <w:kern w:val="0"/>
                <w:szCs w:val="21"/>
                <w:highlight w:val="none"/>
              </w:rPr>
              <w:t>时整（北京时间）</w:t>
            </w:r>
            <w:bookmarkStart w:id="155" w:name="_GoBack"/>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19</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比选开始时间</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Cs w:val="21"/>
                <w:highlight w:val="none"/>
              </w:rPr>
            </w:pPr>
            <w:r>
              <w:rPr>
                <w:rFonts w:hint="eastAsia" w:ascii="仿宋" w:hAnsi="仿宋" w:eastAsia="仿宋" w:cs="仿宋"/>
                <w:kern w:val="0"/>
                <w:szCs w:val="21"/>
                <w:highlight w:val="none"/>
                <w:lang w:eastAsia="zh-CN"/>
              </w:rPr>
              <w:t>2022年</w:t>
            </w:r>
            <w:r>
              <w:rPr>
                <w:rFonts w:hint="eastAsia" w:ascii="仿宋" w:hAnsi="仿宋" w:eastAsia="仿宋" w:cs="仿宋"/>
                <w:kern w:val="0"/>
                <w:szCs w:val="21"/>
                <w:highlight w:val="none"/>
                <w:lang w:val="en-US" w:eastAsia="zh-CN"/>
              </w:rPr>
              <w:t>7</w:t>
            </w:r>
            <w:r>
              <w:rPr>
                <w:rFonts w:hint="eastAsia" w:ascii="仿宋" w:hAnsi="仿宋" w:eastAsia="仿宋" w:cs="仿宋"/>
                <w:kern w:val="0"/>
                <w:szCs w:val="21"/>
                <w:highlight w:val="none"/>
                <w:lang w:eastAsia="zh-CN"/>
              </w:rPr>
              <w:t>月</w:t>
            </w:r>
            <w:r>
              <w:rPr>
                <w:rFonts w:hint="eastAsia" w:ascii="仿宋" w:hAnsi="仿宋" w:eastAsia="仿宋" w:cs="仿宋"/>
                <w:kern w:val="0"/>
                <w:szCs w:val="21"/>
                <w:highlight w:val="none"/>
                <w:lang w:val="en-US" w:eastAsia="zh-CN"/>
              </w:rPr>
              <w:t>6</w:t>
            </w:r>
            <w:r>
              <w:rPr>
                <w:rFonts w:hint="eastAsia" w:ascii="仿宋" w:hAnsi="仿宋" w:eastAsia="仿宋" w:cs="仿宋"/>
                <w:kern w:val="0"/>
                <w:szCs w:val="21"/>
                <w:highlight w:val="none"/>
                <w:lang w:eastAsia="zh-CN"/>
              </w:rPr>
              <w:t>日</w:t>
            </w:r>
            <w:r>
              <w:rPr>
                <w:rFonts w:hint="eastAsia" w:ascii="仿宋" w:hAnsi="仿宋" w:eastAsia="仿宋" w:cs="仿宋"/>
                <w:kern w:val="0"/>
                <w:szCs w:val="21"/>
                <w:highlight w:val="none"/>
                <w:lang w:val="en-US" w:eastAsia="zh-CN"/>
              </w:rPr>
              <w:t>15</w:t>
            </w:r>
            <w:r>
              <w:rPr>
                <w:rFonts w:hint="eastAsia" w:ascii="仿宋" w:hAnsi="仿宋" w:eastAsia="仿宋" w:cs="仿宋"/>
                <w:kern w:val="0"/>
                <w:szCs w:val="21"/>
                <w:highlight w:val="none"/>
              </w:rPr>
              <w:t>：</w:t>
            </w:r>
            <w:r>
              <w:rPr>
                <w:rFonts w:hint="eastAsia" w:ascii="仿宋" w:hAnsi="仿宋" w:eastAsia="仿宋" w:cs="仿宋"/>
                <w:kern w:val="0"/>
                <w:szCs w:val="21"/>
                <w:highlight w:val="none"/>
                <w:lang w:val="en-US" w:eastAsia="zh-CN"/>
              </w:rPr>
              <w:t>30</w:t>
            </w:r>
            <w:r>
              <w:rPr>
                <w:rFonts w:hint="eastAsia" w:ascii="仿宋" w:hAnsi="仿宋" w:eastAsia="仿宋" w:cs="仿宋"/>
                <w:kern w:val="0"/>
                <w:szCs w:val="21"/>
                <w:highlight w:val="none"/>
              </w:rPr>
              <w:t>时整（北京时间）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20</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b/>
                <w:bCs/>
                <w:szCs w:val="21"/>
                <w:highlight w:val="none"/>
              </w:rPr>
              <w:t>比选申请人身份验证</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Cs w:val="21"/>
                <w:highlight w:val="none"/>
              </w:rPr>
            </w:pPr>
            <w:r>
              <w:rPr>
                <w:rFonts w:hint="eastAsia" w:ascii="仿宋" w:hAnsi="仿宋" w:eastAsia="仿宋" w:cs="仿宋"/>
                <w:b/>
                <w:bCs/>
                <w:szCs w:val="21"/>
                <w:highlight w:val="none"/>
              </w:rPr>
              <w:t>比选申请人按比选程序进行点名时，向比选人提交法定代表人授权委托书并出示本人身份证(身份证原件必须与授权委托书中的身份证复印件内容完全一致），以证明其出席，验证不合格的不进入下一轮评审</w:t>
            </w:r>
            <w:r>
              <w:rPr>
                <w:rFonts w:hint="eastAsia" w:ascii="仿宋" w:hAnsi="仿宋" w:eastAsia="仿宋" w:cs="仿宋"/>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21</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评选办法</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szCs w:val="21"/>
                <w:highlight w:val="none"/>
              </w:rPr>
            </w:pPr>
            <w:r>
              <w:rPr>
                <w:rFonts w:hint="eastAsia" w:ascii="仿宋" w:hAnsi="仿宋" w:eastAsia="仿宋" w:cs="仿宋"/>
                <w:szCs w:val="21"/>
                <w:highlight w:val="none"/>
              </w:rPr>
              <w:t>竞争性比选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23</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封套上至少写明</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kern w:val="0"/>
                <w:highlight w:val="none"/>
                <w:u w:val="single"/>
              </w:rPr>
            </w:pPr>
            <w:r>
              <w:rPr>
                <w:rFonts w:hint="eastAsia" w:ascii="仿宋" w:hAnsi="仿宋" w:eastAsia="仿宋" w:cs="仿宋"/>
                <w:kern w:val="0"/>
                <w:highlight w:val="none"/>
              </w:rPr>
              <w:t>比选人名称：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kern w:val="0"/>
                <w:highlight w:val="none"/>
              </w:rPr>
            </w:pPr>
            <w:r>
              <w:rPr>
                <w:rFonts w:hint="eastAsia" w:ascii="仿宋" w:hAnsi="仿宋" w:eastAsia="仿宋" w:cs="仿宋"/>
                <w:kern w:val="0"/>
                <w:highlight w:val="none"/>
              </w:rPr>
              <w:t>项目名称：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kern w:val="0"/>
                <w:highlight w:val="none"/>
              </w:rPr>
            </w:pPr>
            <w:r>
              <w:rPr>
                <w:rFonts w:hint="eastAsia" w:ascii="仿宋" w:hAnsi="仿宋" w:eastAsia="仿宋" w:cs="仿宋"/>
                <w:kern w:val="0"/>
                <w:highlight w:val="none"/>
              </w:rPr>
              <w:t>（项目名称）参选文件在  年  月</w:t>
            </w:r>
            <w:bookmarkStart w:id="6" w:name="_Hlt236134677"/>
            <w:bookmarkEnd w:id="6"/>
            <w:r>
              <w:rPr>
                <w:rFonts w:hint="eastAsia" w:ascii="仿宋" w:hAnsi="仿宋" w:eastAsia="仿宋" w:cs="仿宋"/>
                <w:kern w:val="0"/>
                <w:highlight w:val="none"/>
              </w:rPr>
              <w:t xml:space="preserve">  日  ：00时（比选截止时间）前不得开启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24</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highlight w:val="none"/>
                <w:lang w:eastAsia="zh-CN"/>
              </w:rPr>
            </w:pPr>
            <w:r>
              <w:rPr>
                <w:rFonts w:hint="eastAsia" w:ascii="仿宋" w:hAnsi="仿宋" w:eastAsia="仿宋" w:cs="仿宋"/>
                <w:szCs w:val="21"/>
                <w:highlight w:val="none"/>
                <w:lang w:eastAsia="zh-CN"/>
              </w:rPr>
              <w:t>比选控制价</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投标报价应包含：</w:t>
            </w:r>
            <w:r>
              <w:rPr>
                <w:rFonts w:hint="eastAsia" w:ascii="仿宋" w:hAnsi="仿宋" w:eastAsia="仿宋" w:cs="仿宋"/>
                <w:szCs w:val="21"/>
                <w:highlight w:val="none"/>
                <w:lang w:eastAsia="zh-CN"/>
              </w:rPr>
              <w:t>人材机管利规税及投标产生的一切费用。</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比选控制价</w:t>
            </w:r>
            <w:r>
              <w:rPr>
                <w:rFonts w:hint="eastAsia" w:ascii="仿宋" w:hAnsi="仿宋" w:eastAsia="仿宋" w:cs="仿宋"/>
                <w:szCs w:val="21"/>
                <w:highlight w:val="none"/>
              </w:rPr>
              <w:t>为：</w:t>
            </w:r>
            <w:r>
              <w:rPr>
                <w:rFonts w:hint="eastAsia" w:ascii="仿宋" w:hAnsi="仿宋" w:eastAsia="仿宋" w:cs="仿宋"/>
                <w:szCs w:val="21"/>
                <w:highlight w:val="none"/>
                <w:shd w:val="clear" w:color="auto" w:fill="auto"/>
                <w:lang w:val="en-US" w:eastAsia="zh-CN"/>
              </w:rPr>
              <w:t>795006.20元</w:t>
            </w:r>
            <w:r>
              <w:rPr>
                <w:rFonts w:hint="eastAsia" w:ascii="仿宋" w:hAnsi="仿宋" w:eastAsia="仿宋" w:cs="仿宋"/>
                <w:szCs w:val="21"/>
                <w:highlight w:val="none"/>
                <w:lang w:eastAsia="zh-CN"/>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kern w:val="0"/>
                <w:highlight w:val="none"/>
              </w:rPr>
            </w:pPr>
            <w:r>
              <w:rPr>
                <w:rFonts w:hint="eastAsia" w:ascii="仿宋" w:hAnsi="仿宋" w:eastAsia="仿宋" w:cs="仿宋"/>
                <w:szCs w:val="21"/>
                <w:highlight w:val="none"/>
              </w:rPr>
              <w:t>本招标项目招标人设投标总价的最高投标限价。</w:t>
            </w:r>
            <w:r>
              <w:rPr>
                <w:rFonts w:hint="eastAsia" w:ascii="仿宋" w:hAnsi="仿宋" w:eastAsia="仿宋" w:cs="仿宋"/>
                <w:b/>
                <w:bCs/>
                <w:szCs w:val="21"/>
                <w:highlight w:val="none"/>
              </w:rPr>
              <w:t>参选人的投标总价、单项综合单价不得超出招标人公布的最高投标限价，超出招标人公布的最高投标限价的按废标处理。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25</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签字或盖章要求</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（1）参选文件正、副本签章按本比选文件的规定，证明材料加盖比选申请人单位公章。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（2）参选文件封面、参选函、比选一览表等关键处必须同时由比选申请人的法定代表人或委托代理人签字（或盖章）并加盖比选申请人单位公章。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26</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评选委员会的组建</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评选委员会组成：评选委员会构成为 5人或以上的单数。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27</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是否授权评选委员会</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确定中选人</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否，</w:t>
            </w:r>
            <w:r>
              <w:rPr>
                <w:rFonts w:hint="eastAsia" w:ascii="仿宋" w:hAnsi="仿宋" w:eastAsia="仿宋" w:cs="仿宋"/>
                <w:kern w:val="0"/>
                <w:szCs w:val="21"/>
                <w:highlight w:val="none"/>
              </w:rPr>
              <w:t>评选委员会按参选文件评选办法推荐前三名为中选候选人。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28</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授予合同</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中选通知书发出后30日内与比选人签订合同，具体内容另行商定。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29</w:t>
            </w:r>
          </w:p>
        </w:tc>
        <w:tc>
          <w:tcPr>
            <w:tcW w:w="26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Cs w:val="21"/>
                <w:highlight w:val="none"/>
              </w:rPr>
            </w:pPr>
            <w:r>
              <w:rPr>
                <w:rFonts w:hint="eastAsia" w:ascii="仿宋" w:hAnsi="仿宋" w:eastAsia="仿宋" w:cs="仿宋"/>
                <w:szCs w:val="21"/>
                <w:highlight w:val="none"/>
              </w:rPr>
              <w:t>招标代理费</w:t>
            </w:r>
          </w:p>
        </w:tc>
        <w:tc>
          <w:tcPr>
            <w:tcW w:w="616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szCs w:val="21"/>
                <w:highlight w:val="none"/>
              </w:rPr>
            </w:pPr>
            <w:r>
              <w:rPr>
                <w:rFonts w:hint="eastAsia" w:ascii="仿宋" w:hAnsi="仿宋" w:eastAsia="仿宋" w:cs="仿宋"/>
                <w:szCs w:val="21"/>
                <w:highlight w:val="none"/>
              </w:rPr>
              <w:t>按湘价服[2013]131号、发改价格[2011]534号文计算标准</w:t>
            </w:r>
            <w:r>
              <w:rPr>
                <w:rFonts w:hint="eastAsia" w:ascii="仿宋" w:hAnsi="仿宋" w:eastAsia="仿宋" w:cs="仿宋"/>
                <w:szCs w:val="21"/>
                <w:highlight w:val="none"/>
                <w:lang w:val="en-US" w:eastAsia="zh-CN"/>
              </w:rPr>
              <w:t>计算，由中标人支付，本项目比选代理费按对应标准下浮35%在中标人与招标人签订合同后交纳。</w:t>
            </w:r>
          </w:p>
        </w:tc>
      </w:tr>
    </w:tbl>
    <w:p>
      <w:pPr>
        <w:spacing w:line="360" w:lineRule="auto"/>
        <w:jc w:val="center"/>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color w:val="auto"/>
          <w:sz w:val="24"/>
          <w:highlight w:val="none"/>
        </w:rPr>
        <w:t>一、总 则</w:t>
      </w:r>
      <w:bookmarkStart w:id="7" w:name="_Toc218306573"/>
      <w:bookmarkStart w:id="8" w:name="_Toc251740402"/>
      <w:bookmarkStart w:id="9" w:name="_Toc217632549"/>
      <w:bookmarkStart w:id="10" w:name="_Toc249413138"/>
      <w:bookmarkStart w:id="11" w:name="_Toc218610032"/>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1、项目说明</w:t>
      </w:r>
      <w:bookmarkEnd w:id="7"/>
      <w:bookmarkEnd w:id="8"/>
      <w:bookmarkEnd w:id="9"/>
      <w:bookmarkEnd w:id="10"/>
      <w:bookmarkEnd w:id="11"/>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1.1项目名称：见《比选申请人须知前附表》。</w:t>
      </w:r>
    </w:p>
    <w:p>
      <w:pPr>
        <w:spacing w:line="360" w:lineRule="auto"/>
        <w:jc w:val="left"/>
        <w:rPr>
          <w:rFonts w:ascii="仿宋" w:hAnsi="仿宋" w:eastAsia="仿宋" w:cs="仿宋"/>
          <w:color w:val="auto"/>
          <w:highlight w:val="none"/>
        </w:rPr>
      </w:pPr>
      <w:r>
        <w:rPr>
          <w:rFonts w:hint="eastAsia" w:ascii="仿宋" w:hAnsi="仿宋" w:eastAsia="仿宋" w:cs="仿宋"/>
          <w:color w:val="auto"/>
          <w:highlight w:val="none"/>
        </w:rPr>
        <w:t>1.2本项目按照关法律、法规和规章，通过竞争性比选方式，选定本项目的中选人。</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2、定义</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2.1本比选项目的范围详见本须知前附表。</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2.2本比选项目的周期要求详见本须知前附表。</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3、合格比选申请人</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   本项目合格比选申请人要求详见</w:t>
      </w:r>
      <w:r>
        <w:rPr>
          <w:rFonts w:hint="eastAsia" w:ascii="仿宋" w:hAnsi="仿宋" w:eastAsia="仿宋" w:cs="仿宋"/>
          <w:color w:val="auto"/>
          <w:szCs w:val="21"/>
          <w:highlight w:val="none"/>
        </w:rPr>
        <w:t>比选邀请函</w:t>
      </w:r>
      <w:r>
        <w:rPr>
          <w:rFonts w:hint="eastAsia" w:ascii="仿宋" w:hAnsi="仿宋" w:eastAsia="仿宋" w:cs="仿宋"/>
          <w:color w:val="auto"/>
          <w:highlight w:val="none"/>
        </w:rPr>
        <w:t>。</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4、资金来源</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本项目资金来源详见比选申请人须知前附表。</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5、参选费用</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 xml:space="preserve">   比选申请人应承担其编制参选文件与递交参选文件所涉及的一切费用，比选申请人自行现场踏勘、编制参选文件与递交参选文件、参加比选所涉及的一切费用，不管参选结果如何，比选人对上述费用不负任何责任，参选文件也不予退还。</w:t>
      </w:r>
    </w:p>
    <w:p>
      <w:pPr>
        <w:spacing w:line="360" w:lineRule="auto"/>
        <w:rPr>
          <w:rFonts w:ascii="仿宋" w:hAnsi="仿宋" w:eastAsia="仿宋" w:cs="仿宋"/>
          <w:b/>
          <w:color w:val="auto"/>
          <w:szCs w:val="21"/>
          <w:highlight w:val="none"/>
        </w:rPr>
      </w:pPr>
      <w:bookmarkStart w:id="12" w:name="_Toc310494068"/>
      <w:bookmarkStart w:id="13" w:name="_Toc235592897"/>
      <w:bookmarkStart w:id="14" w:name="_Toc193115695"/>
      <w:bookmarkStart w:id="15" w:name="_Toc235592900"/>
      <w:bookmarkStart w:id="16" w:name="_Toc193115699"/>
      <w:r>
        <w:rPr>
          <w:rFonts w:hint="eastAsia" w:ascii="仿宋" w:hAnsi="仿宋" w:eastAsia="仿宋" w:cs="仿宋"/>
          <w:b/>
          <w:color w:val="auto"/>
          <w:szCs w:val="21"/>
          <w:highlight w:val="none"/>
        </w:rPr>
        <w:t>6、比选申请人资格要求</w:t>
      </w:r>
      <w:bookmarkEnd w:id="12"/>
      <w:bookmarkEnd w:id="13"/>
      <w:bookmarkEnd w:id="14"/>
    </w:p>
    <w:p>
      <w:pPr>
        <w:pStyle w:val="29"/>
        <w:widowControl w:val="0"/>
        <w:spacing w:before="0" w:beforeAutospacing="0" w:after="0" w:afterAutospacing="0" w:line="360" w:lineRule="auto"/>
        <w:rPr>
          <w:rFonts w:ascii="仿宋" w:hAnsi="仿宋" w:eastAsia="仿宋" w:cs="仿宋"/>
          <w:color w:val="auto"/>
          <w:kern w:val="2"/>
          <w:sz w:val="21"/>
          <w:szCs w:val="21"/>
          <w:highlight w:val="none"/>
        </w:rPr>
      </w:pPr>
      <w:r>
        <w:rPr>
          <w:rFonts w:hint="eastAsia" w:ascii="仿宋" w:hAnsi="仿宋" w:eastAsia="仿宋" w:cs="仿宋"/>
          <w:color w:val="auto"/>
          <w:sz w:val="21"/>
          <w:szCs w:val="21"/>
          <w:highlight w:val="none"/>
        </w:rPr>
        <w:t>6.1</w:t>
      </w:r>
      <w:r>
        <w:rPr>
          <w:rFonts w:hint="eastAsia" w:ascii="仿宋" w:hAnsi="仿宋" w:eastAsia="仿宋" w:cs="仿宋"/>
          <w:color w:val="auto"/>
          <w:kern w:val="2"/>
          <w:sz w:val="21"/>
          <w:szCs w:val="21"/>
          <w:highlight w:val="none"/>
        </w:rPr>
        <w:t>比选申请人应具备承担本项目的资质条件、能力和信誉见比选申请人须知前附表。</w:t>
      </w:r>
    </w:p>
    <w:p>
      <w:p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6.2比选申请人不得存在下列情形之一：</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（1）本标段前期准备提供设计或咨询服务的；</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（2）本标段的代建人；</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（3）被责令停业的；</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（5）被暂停或取消参选资格的；</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（6）财产被接管或冻结的；</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（7）具有投资参股关系的关联企业，或具有直接管理和被管理关系的母子公司，或法定代表人为同一人的两个及两个以上法人的；</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7、</w:t>
      </w:r>
      <w:bookmarkEnd w:id="15"/>
      <w:bookmarkEnd w:id="16"/>
      <w:r>
        <w:rPr>
          <w:rFonts w:hint="eastAsia" w:ascii="仿宋" w:hAnsi="仿宋" w:eastAsia="仿宋" w:cs="仿宋"/>
          <w:b/>
          <w:bCs/>
          <w:color w:val="auto"/>
          <w:highlight w:val="none"/>
        </w:rPr>
        <w:t>保密</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highlight w:val="none"/>
        </w:rPr>
        <w:t xml:space="preserve"> 参与比选活动的各方应对比选文件和参选文件中的商业和技术等秘密保密，违者应对由此造成的后果承担法律责任。</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jc w:val="center"/>
        <w:rPr>
          <w:rFonts w:ascii="仿宋" w:hAnsi="仿宋" w:eastAsia="仿宋" w:cs="仿宋"/>
          <w:b/>
          <w:bCs/>
          <w:color w:val="auto"/>
          <w:sz w:val="30"/>
          <w:szCs w:val="30"/>
          <w:highlight w:val="none"/>
        </w:rPr>
      </w:pPr>
      <w:r>
        <w:rPr>
          <w:rFonts w:hint="eastAsia" w:ascii="仿宋" w:hAnsi="仿宋" w:eastAsia="仿宋" w:cs="仿宋"/>
          <w:color w:val="auto"/>
          <w:sz w:val="24"/>
          <w:highlight w:val="none"/>
        </w:rPr>
        <w:t>二、比选文件</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8、比选文件的组成</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本比选文件包括</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第一章  邀请公告</w:t>
      </w:r>
      <w:r>
        <w:rPr>
          <w:rFonts w:hint="eastAsia" w:ascii="仿宋" w:hAnsi="仿宋" w:eastAsia="仿宋" w:cs="仿宋"/>
          <w:color w:val="auto"/>
          <w:highlight w:val="none"/>
        </w:rPr>
        <w:tab/>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第二章  比选申请人须知</w:t>
      </w:r>
      <w:r>
        <w:rPr>
          <w:rFonts w:hint="eastAsia" w:ascii="仿宋" w:hAnsi="仿宋" w:eastAsia="仿宋" w:cs="仿宋"/>
          <w:color w:val="auto"/>
          <w:highlight w:val="none"/>
        </w:rPr>
        <w:tab/>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第三章  采购需求</w:t>
      </w:r>
      <w:r>
        <w:rPr>
          <w:rFonts w:hint="eastAsia" w:ascii="仿宋" w:hAnsi="仿宋" w:eastAsia="仿宋" w:cs="仿宋"/>
          <w:color w:val="auto"/>
          <w:highlight w:val="none"/>
        </w:rPr>
        <w:tab/>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第四章  参选文件的组成及格式</w:t>
      </w:r>
      <w:r>
        <w:rPr>
          <w:rFonts w:hint="eastAsia" w:ascii="仿宋" w:hAnsi="仿宋" w:eastAsia="仿宋" w:cs="仿宋"/>
          <w:color w:val="auto"/>
          <w:highlight w:val="none"/>
        </w:rPr>
        <w:tab/>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第五章  评选办法</w:t>
      </w:r>
      <w:r>
        <w:rPr>
          <w:rFonts w:hint="eastAsia" w:ascii="仿宋" w:hAnsi="仿宋" w:eastAsia="仿宋" w:cs="仿宋"/>
          <w:color w:val="auto"/>
          <w:highlight w:val="none"/>
        </w:rPr>
        <w:tab/>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8.1比选文件由比选文件总目录所列的全部内容及在比选过程中发出的修正和补充文件答疑纪要等组成。</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9、比选文件的澄清</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9.1比选申请人应仔细阅读和检查比选文件的全部内容。如发现缺页或附件不全，应在比选申请人须知前附表规定的时间前及规定的方式向比选人提出，以便补齐。否则，由此引起的损失由比选申请人自己承担。比选申请人同时应认真审阅比选文件中所有的事项、格式、条款和规范要求等，若比选申请人的参选文件没有按比选文件要求提交全部资料，或参选文件没有对比选文件做出实质性响应，其风险由比选申请人自行承担，并根据有关条款规定，该参选有可能被拒绝。如有疑问，应在比选申请人须知前附表规定的时间前及规定的方式提出，要求比选人对比选文件予以澄清。</w:t>
      </w:r>
    </w:p>
    <w:p>
      <w:pPr>
        <w:spacing w:line="360" w:lineRule="auto"/>
        <w:ind w:firstLine="315"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9.2比选文件的澄清将在比选截止时间3日前以书面形式通知各比选申请人。如果澄清发出的时间距比选截止时间不足3日，且澄清内容影响参选文件编制的，相应延长比选截止时间。</w:t>
      </w:r>
    </w:p>
    <w:p>
      <w:pPr>
        <w:spacing w:line="360" w:lineRule="auto"/>
        <w:rPr>
          <w:rFonts w:ascii="仿宋" w:hAnsi="仿宋" w:eastAsia="仿宋" w:cs="仿宋"/>
          <w:b/>
          <w:color w:val="auto"/>
          <w:szCs w:val="21"/>
          <w:highlight w:val="none"/>
        </w:rPr>
      </w:pPr>
      <w:bookmarkStart w:id="17" w:name="_Toc235592908"/>
      <w:bookmarkStart w:id="18" w:name="_Toc310494080"/>
      <w:bookmarkStart w:id="19" w:name="_Toc193115708"/>
      <w:r>
        <w:rPr>
          <w:rFonts w:hint="eastAsia" w:ascii="仿宋" w:hAnsi="仿宋" w:eastAsia="仿宋" w:cs="仿宋"/>
          <w:b/>
          <w:color w:val="auto"/>
          <w:szCs w:val="21"/>
          <w:highlight w:val="none"/>
        </w:rPr>
        <w:t>10、比选文件的修改</w:t>
      </w:r>
      <w:bookmarkEnd w:id="17"/>
      <w:bookmarkEnd w:id="18"/>
      <w:bookmarkEnd w:id="19"/>
    </w:p>
    <w:p>
      <w:pPr>
        <w:spacing w:line="360" w:lineRule="auto"/>
        <w:ind w:firstLine="315"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在比选截止时间2天前，比选人可以书面形式修改比选文件，修改的比选文件于截止时间1天前以书面形式通知各比选申请人。如果修改比选文件的时间距比选截止时间不足2天，相应延长比选截止时间。</w:t>
      </w: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color w:val="auto"/>
          <w:sz w:val="24"/>
          <w:highlight w:val="none"/>
        </w:rPr>
        <w:t>三、参选文件</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11、参选文件的语言</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比选申请人与比选人之间的与比选有关的来往通知、函件、资料和参选文件均使用中文。</w:t>
      </w:r>
    </w:p>
    <w:p>
      <w:pPr>
        <w:spacing w:line="360" w:lineRule="auto"/>
        <w:rPr>
          <w:rFonts w:ascii="仿宋" w:hAnsi="仿宋" w:eastAsia="仿宋" w:cs="仿宋"/>
          <w:color w:val="auto"/>
          <w:highlight w:val="none"/>
        </w:rPr>
      </w:pPr>
      <w:r>
        <w:rPr>
          <w:rFonts w:hint="eastAsia" w:ascii="仿宋" w:hAnsi="仿宋" w:eastAsia="仿宋" w:cs="仿宋"/>
          <w:b/>
          <w:bCs/>
          <w:color w:val="auto"/>
          <w:highlight w:val="none"/>
        </w:rPr>
        <w:t>12、参选文件的组成：</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12.1参选文件主要包括下列内容：</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 参选函</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2、 法定代表人资格证明书</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3、 授权委托书</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4、 比选一览表</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5、 服务方案</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6、 参选单位基本情况</w:t>
      </w:r>
    </w:p>
    <w:p>
      <w:pPr>
        <w:spacing w:line="360" w:lineRule="auto"/>
        <w:ind w:firstLine="480"/>
        <w:rPr>
          <w:rFonts w:ascii="仿宋" w:hAnsi="仿宋" w:eastAsia="仿宋" w:cs="仿宋"/>
          <w:color w:val="auto"/>
          <w:highlight w:val="none"/>
        </w:rPr>
      </w:pPr>
      <w:r>
        <w:rPr>
          <w:rFonts w:hint="eastAsia" w:ascii="仿宋" w:hAnsi="仿宋" w:eastAsia="仿宋" w:cs="仿宋"/>
          <w:color w:val="auto"/>
          <w:highlight w:val="none"/>
        </w:rPr>
        <w:t>7、 比选文件及评选办法要求提供的其它资料</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12.2</w:t>
      </w:r>
      <w:r>
        <w:rPr>
          <w:rFonts w:hint="eastAsia" w:ascii="仿宋" w:hAnsi="仿宋" w:eastAsia="仿宋" w:cs="仿宋"/>
          <w:color w:val="auto"/>
          <w:szCs w:val="21"/>
          <w:highlight w:val="none"/>
        </w:rPr>
        <w:t>比选申请人应按比选文件规定的内容与格式编制参选文件</w:t>
      </w:r>
      <w:r>
        <w:rPr>
          <w:rFonts w:hint="eastAsia" w:ascii="仿宋" w:hAnsi="仿宋" w:eastAsia="仿宋" w:cs="仿宋"/>
          <w:color w:val="auto"/>
          <w:highlight w:val="none"/>
        </w:rPr>
        <w:t>。必须文字清晰，语义明确。参选文件中的计量单位均采用法定计量单位。</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12.3</w:t>
      </w:r>
      <w:r>
        <w:rPr>
          <w:rFonts w:hint="eastAsia" w:ascii="仿宋" w:hAnsi="仿宋" w:eastAsia="仿宋" w:cs="仿宋"/>
          <w:color w:val="auto"/>
          <w:szCs w:val="21"/>
          <w:highlight w:val="none"/>
        </w:rPr>
        <w:t>比选申请人应向比选人递交比选申请人须知前附表规定数量</w:t>
      </w:r>
      <w:r>
        <w:rPr>
          <w:rFonts w:hint="eastAsia" w:ascii="仿宋" w:hAnsi="仿宋" w:eastAsia="仿宋" w:cs="仿宋"/>
          <w:color w:val="auto"/>
          <w:highlight w:val="none"/>
        </w:rPr>
        <w:t>、要求的参选文件，其中一份参选文件须明确注明为“正本”，其余参选文件注明为“副本”，如果副本与正本不一致，以正本为准。</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12.4</w:t>
      </w:r>
      <w:r>
        <w:rPr>
          <w:rFonts w:hint="eastAsia" w:ascii="仿宋" w:hAnsi="仿宋" w:eastAsia="仿宋" w:cs="仿宋"/>
          <w:color w:val="auto"/>
          <w:szCs w:val="21"/>
          <w:highlight w:val="none"/>
        </w:rPr>
        <w:t>参选文件的正本与副本均应使用擦不掉的墨水打印或书写</w:t>
      </w:r>
      <w:r>
        <w:rPr>
          <w:rFonts w:hint="eastAsia" w:ascii="仿宋" w:hAnsi="仿宋" w:eastAsia="仿宋" w:cs="仿宋"/>
          <w:color w:val="auto"/>
          <w:highlight w:val="none"/>
        </w:rPr>
        <w:t>，并由比选申请人法定代表人签署或委托代理人签署，授权书应以书面委托方式出具，并附在参选书中。</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12.5</w:t>
      </w:r>
      <w:r>
        <w:rPr>
          <w:rFonts w:hint="eastAsia" w:ascii="仿宋" w:hAnsi="仿宋" w:eastAsia="仿宋" w:cs="仿宋"/>
          <w:color w:val="auto"/>
          <w:szCs w:val="21"/>
          <w:highlight w:val="none"/>
        </w:rPr>
        <w:t>全套参选文件应无涂改和行间插字</w:t>
      </w:r>
      <w:r>
        <w:rPr>
          <w:rFonts w:hint="eastAsia" w:ascii="仿宋" w:hAnsi="仿宋" w:eastAsia="仿宋" w:cs="仿宋"/>
          <w:color w:val="auto"/>
          <w:highlight w:val="none"/>
        </w:rPr>
        <w:t>，如必须修改，修改处应由法定代表人或授权委托人签字或盖章并加盖比选申请人单位公章。</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13、完成期限及参选报价</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13.1完成期限</w:t>
      </w:r>
      <w:r>
        <w:rPr>
          <w:rFonts w:hint="eastAsia" w:ascii="仿宋" w:hAnsi="仿宋" w:eastAsia="仿宋" w:cs="仿宋"/>
          <w:color w:val="auto"/>
          <w:szCs w:val="21"/>
          <w:highlight w:val="none"/>
        </w:rPr>
        <w:t>要求</w:t>
      </w:r>
      <w:r>
        <w:rPr>
          <w:rFonts w:hint="eastAsia" w:ascii="仿宋" w:hAnsi="仿宋" w:eastAsia="仿宋" w:cs="仿宋"/>
          <w:color w:val="auto"/>
          <w:highlight w:val="none"/>
        </w:rPr>
        <w:t>：按比选文件规定的时间执行。</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13.2本项目参选报价：参选报价均不得超出公布的比选控制价，否则按废标处理。</w:t>
      </w:r>
    </w:p>
    <w:p>
      <w:pPr>
        <w:spacing w:line="360" w:lineRule="auto"/>
        <w:rPr>
          <w:rFonts w:ascii="仿宋" w:hAnsi="仿宋" w:eastAsia="仿宋" w:cs="仿宋"/>
          <w:b/>
          <w:color w:val="auto"/>
          <w:szCs w:val="21"/>
          <w:highlight w:val="none"/>
        </w:rPr>
      </w:pPr>
      <w:bookmarkStart w:id="20" w:name="_Toc193115712"/>
      <w:bookmarkStart w:id="21" w:name="_Toc310494084"/>
      <w:bookmarkStart w:id="22" w:name="_Toc235592912"/>
      <w:r>
        <w:rPr>
          <w:rFonts w:hint="eastAsia" w:ascii="仿宋" w:hAnsi="仿宋" w:eastAsia="仿宋" w:cs="仿宋"/>
          <w:b/>
          <w:color w:val="auto"/>
          <w:szCs w:val="21"/>
          <w:highlight w:val="none"/>
        </w:rPr>
        <w:t>14、</w:t>
      </w:r>
      <w:bookmarkEnd w:id="20"/>
      <w:bookmarkEnd w:id="21"/>
      <w:bookmarkEnd w:id="22"/>
      <w:r>
        <w:rPr>
          <w:rFonts w:hint="eastAsia" w:ascii="仿宋" w:hAnsi="仿宋" w:eastAsia="仿宋" w:cs="仿宋"/>
          <w:b/>
          <w:color w:val="auto"/>
          <w:szCs w:val="21"/>
          <w:highlight w:val="none"/>
        </w:rPr>
        <w:t>比选有效期</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14.1在比选申请人须知前附表规定的比选有效期内，比选申请人不得要求撤销或修改其参选文件。</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14.2出现特殊情况需要延长比选有效期的，比选人要提前发布。比选申请人同意延长的，应相应延长其参选保证金的有效期，但不得要求或被允许修改或撤销其参选文件；比选申请人拒绝延长的，其参选失效，但比选申请人有权收回其参选保证金</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保证金条款不适用本项目</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15、参选文件的份数和签署、装订</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highlight w:val="none"/>
        </w:rPr>
        <w:t>15.1</w:t>
      </w:r>
      <w:r>
        <w:rPr>
          <w:rFonts w:hint="eastAsia" w:ascii="仿宋" w:hAnsi="仿宋" w:eastAsia="仿宋" w:cs="仿宋"/>
          <w:color w:val="auto"/>
          <w:sz w:val="21"/>
          <w:szCs w:val="21"/>
          <w:highlight w:val="none"/>
        </w:rPr>
        <w:t>参选文件正本一份，副本份数见比选申请人须知前附表。正本和副本的封面上应清楚地标记“正本”或“副本”的字样。当副本和正本不一致时，以正本为准。</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15.2参选文件正本与副本应分别装订成册并编制目录，具体装订要求见比选申请人须知前附表。</w:t>
      </w:r>
    </w:p>
    <w:p>
      <w:pPr>
        <w:pStyle w:val="29"/>
        <w:widowControl w:val="0"/>
        <w:spacing w:before="0" w:beforeAutospacing="0" w:after="0" w:afterAutospacing="0" w:line="360" w:lineRule="auto"/>
        <w:ind w:firstLine="420" w:firstLineChars="200"/>
        <w:rPr>
          <w:rFonts w:ascii="仿宋" w:hAnsi="仿宋" w:eastAsia="仿宋" w:cs="仿宋"/>
          <w:color w:val="auto"/>
          <w:sz w:val="21"/>
          <w:highlight w:val="none"/>
        </w:rPr>
      </w:pPr>
      <w:r>
        <w:rPr>
          <w:rFonts w:hint="eastAsia" w:ascii="仿宋" w:hAnsi="仿宋" w:eastAsia="仿宋" w:cs="仿宋"/>
          <w:color w:val="auto"/>
          <w:sz w:val="21"/>
          <w:highlight w:val="none"/>
        </w:rPr>
        <w:t>15.3参选文件应当对比选文件有关完成期限、比选有效期、采购要求、比选范围等实质性内容作出响应。</w:t>
      </w:r>
    </w:p>
    <w:p>
      <w:pPr>
        <w:spacing w:line="360" w:lineRule="auto"/>
        <w:jc w:val="center"/>
        <w:rPr>
          <w:rFonts w:ascii="仿宋" w:hAnsi="仿宋" w:eastAsia="仿宋" w:cs="仿宋"/>
          <w:b/>
          <w:color w:val="auto"/>
          <w:sz w:val="32"/>
          <w:szCs w:val="32"/>
          <w:highlight w:val="none"/>
        </w:rPr>
      </w:pPr>
      <w:bookmarkStart w:id="23" w:name="_Toc193115718"/>
      <w:bookmarkStart w:id="24" w:name="_Toc235592917"/>
      <w:bookmarkStart w:id="25" w:name="_Toc238546324"/>
      <w:r>
        <w:rPr>
          <w:rFonts w:hint="eastAsia" w:ascii="仿宋" w:hAnsi="仿宋" w:eastAsia="仿宋" w:cs="仿宋"/>
          <w:color w:val="auto"/>
          <w:sz w:val="24"/>
          <w:highlight w:val="none"/>
        </w:rPr>
        <w:t>四、</w:t>
      </w:r>
      <w:bookmarkEnd w:id="23"/>
      <w:bookmarkEnd w:id="24"/>
      <w:bookmarkEnd w:id="25"/>
      <w:bookmarkStart w:id="26" w:name="_Toc193115719"/>
      <w:bookmarkStart w:id="27" w:name="_Toc235592918"/>
      <w:r>
        <w:rPr>
          <w:rFonts w:hint="eastAsia" w:ascii="仿宋" w:hAnsi="仿宋" w:eastAsia="仿宋" w:cs="仿宋"/>
          <w:color w:val="auto"/>
          <w:sz w:val="24"/>
          <w:highlight w:val="none"/>
        </w:rPr>
        <w:t>参选</w:t>
      </w:r>
    </w:p>
    <w:p>
      <w:pPr>
        <w:pStyle w:val="29"/>
        <w:widowControl w:val="0"/>
        <w:spacing w:before="0" w:beforeAutospacing="0" w:after="0" w:afterAutospacing="0" w:line="360" w:lineRule="auto"/>
        <w:rPr>
          <w:rFonts w:ascii="仿宋" w:hAnsi="仿宋" w:eastAsia="仿宋" w:cs="仿宋"/>
          <w:b/>
          <w:color w:val="auto"/>
          <w:sz w:val="21"/>
          <w:highlight w:val="none"/>
        </w:rPr>
      </w:pPr>
      <w:r>
        <w:rPr>
          <w:rFonts w:hint="eastAsia" w:ascii="仿宋" w:hAnsi="仿宋" w:eastAsia="仿宋" w:cs="仿宋"/>
          <w:b/>
          <w:color w:val="auto"/>
          <w:sz w:val="21"/>
          <w:highlight w:val="none"/>
        </w:rPr>
        <w:t>16、参选文件的密封和标</w:t>
      </w:r>
      <w:bookmarkEnd w:id="26"/>
      <w:r>
        <w:rPr>
          <w:rFonts w:hint="eastAsia" w:ascii="仿宋" w:hAnsi="仿宋" w:eastAsia="仿宋" w:cs="仿宋"/>
          <w:b/>
          <w:color w:val="auto"/>
          <w:sz w:val="21"/>
          <w:highlight w:val="none"/>
        </w:rPr>
        <w:t>识</w:t>
      </w:r>
      <w:bookmarkEnd w:id="27"/>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16.1参选文件的密封：比选申请人应将参选文件密封后提交。</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16.2参选文件的标识：参选文件的封套上应清楚地标记“参选文件”字样，包装时应加贴封条，并在封套的封口处加盖比选申请人法人公章。封套上至少应写明的内容见比选申请人须知前附表。</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16.3比选申请人未按本章要求密封和加写标记的参选文件，比选人不予受理，同时比选人不承担参选文件错放或提前开封的责任。由此造成的提前开封的参选文件将予以拒绝或无效，并退还给比选申请人。</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17、比选截止时间</w:t>
      </w:r>
    </w:p>
    <w:p>
      <w:pPr>
        <w:pStyle w:val="29"/>
        <w:widowControl w:val="0"/>
        <w:spacing w:before="0" w:beforeAutospacing="0" w:after="0" w:afterAutospacing="0" w:line="360" w:lineRule="auto"/>
        <w:ind w:firstLine="420" w:firstLineChars="200"/>
        <w:rPr>
          <w:rFonts w:ascii="仿宋" w:hAnsi="仿宋" w:eastAsia="仿宋" w:cs="仿宋"/>
          <w:color w:val="auto"/>
          <w:sz w:val="21"/>
          <w:highlight w:val="none"/>
        </w:rPr>
      </w:pPr>
      <w:r>
        <w:rPr>
          <w:rFonts w:hint="eastAsia" w:ascii="仿宋" w:hAnsi="仿宋" w:eastAsia="仿宋" w:cs="仿宋"/>
          <w:color w:val="auto"/>
          <w:sz w:val="21"/>
          <w:highlight w:val="none"/>
        </w:rPr>
        <w:t>17.1 如发生特殊情况，需延长比选截止时间，比选人将以书面形式通知各比选申请人。</w:t>
      </w:r>
    </w:p>
    <w:p>
      <w:pPr>
        <w:pStyle w:val="29"/>
        <w:widowControl w:val="0"/>
        <w:spacing w:before="0" w:beforeAutospacing="0" w:after="0" w:afterAutospacing="0" w:line="360" w:lineRule="auto"/>
        <w:ind w:firstLine="420" w:firstLineChars="200"/>
        <w:rPr>
          <w:rFonts w:ascii="仿宋" w:hAnsi="仿宋" w:eastAsia="仿宋" w:cs="仿宋"/>
          <w:color w:val="auto"/>
          <w:sz w:val="21"/>
          <w:highlight w:val="none"/>
        </w:rPr>
      </w:pPr>
      <w:r>
        <w:rPr>
          <w:rFonts w:hint="eastAsia" w:ascii="仿宋" w:hAnsi="仿宋" w:eastAsia="仿宋" w:cs="仿宋"/>
          <w:color w:val="auto"/>
          <w:sz w:val="21"/>
          <w:highlight w:val="none"/>
        </w:rPr>
        <w:t>17.2 已送达参选文件在比选截止时间后，不得撤回、修改参选文件。</w:t>
      </w:r>
    </w:p>
    <w:p>
      <w:pPr>
        <w:pStyle w:val="29"/>
        <w:widowControl w:val="0"/>
        <w:spacing w:before="0" w:beforeAutospacing="0" w:after="0" w:afterAutospacing="0" w:line="360" w:lineRule="auto"/>
        <w:rPr>
          <w:rFonts w:ascii="仿宋" w:hAnsi="仿宋" w:eastAsia="仿宋" w:cs="仿宋"/>
          <w:b/>
          <w:bCs/>
          <w:color w:val="auto"/>
          <w:sz w:val="21"/>
          <w:highlight w:val="none"/>
        </w:rPr>
      </w:pPr>
      <w:r>
        <w:rPr>
          <w:rFonts w:hint="eastAsia" w:ascii="仿宋" w:hAnsi="仿宋" w:eastAsia="仿宋" w:cs="仿宋"/>
          <w:b/>
          <w:bCs/>
          <w:color w:val="auto"/>
          <w:sz w:val="21"/>
          <w:highlight w:val="none"/>
        </w:rPr>
        <w:t>18、参选文件递交</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18.1比选申请人应将参选文件按比选申请人须知前附表规定的日期和时间之前由专人送达比选人指定的参选地点。未在规定的日期和时间之前送达，参选将被拒绝。</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19、参选文件的修改和撤回</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19.1参选文件递交以后，如果比选申请人以比选申请人法定代表人或其授权委托人签署的书面形式提出修改和撤标要求，在比选截止时间前送比选方，比选方可予以接受。</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19.2比选申请人的修改参选文件或撤消参选要求的书面材料，须密封送达比选方，同时应在封套上标明“修改参选文件（并注明比选编号）”和“开封时启封”字样。</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19.3比选后比选申请人不得撤回参选，也不得对参选文件进行修改。</w:t>
      </w:r>
    </w:p>
    <w:p>
      <w:pPr>
        <w:spacing w:line="360" w:lineRule="auto"/>
        <w:jc w:val="center"/>
        <w:rPr>
          <w:rFonts w:ascii="仿宋" w:hAnsi="仿宋" w:eastAsia="仿宋" w:cs="仿宋"/>
          <w:b/>
          <w:bCs/>
          <w:color w:val="auto"/>
          <w:sz w:val="32"/>
          <w:szCs w:val="32"/>
          <w:highlight w:val="none"/>
        </w:rPr>
      </w:pPr>
      <w:r>
        <w:rPr>
          <w:rFonts w:hint="eastAsia" w:ascii="仿宋" w:hAnsi="仿宋" w:eastAsia="仿宋" w:cs="仿宋"/>
          <w:color w:val="auto"/>
          <w:sz w:val="24"/>
          <w:highlight w:val="none"/>
        </w:rPr>
        <w:t>五、比选</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20、比选</w:t>
      </w:r>
    </w:p>
    <w:p>
      <w:pPr>
        <w:spacing w:line="360" w:lineRule="auto"/>
        <w:ind w:firstLine="420" w:firstLineChars="200"/>
        <w:jc w:val="left"/>
        <w:rPr>
          <w:rFonts w:ascii="仿宋" w:hAnsi="仿宋" w:eastAsia="仿宋" w:cs="仿宋"/>
          <w:color w:val="auto"/>
          <w:highlight w:val="none"/>
        </w:rPr>
      </w:pPr>
      <w:r>
        <w:rPr>
          <w:rFonts w:hint="eastAsia" w:ascii="仿宋" w:hAnsi="仿宋" w:eastAsia="仿宋" w:cs="仿宋"/>
          <w:color w:val="auto"/>
          <w:highlight w:val="none"/>
        </w:rPr>
        <w:t>20.1比选人在比选申请人须知前附表规定的比选时间和地点公开比选。所有比选申请人必须派法定代表人或其授权委托代理人携带参选文件准时参加，未按上述要求参加比选，其参选将被拒绝。</w:t>
      </w:r>
    </w:p>
    <w:p>
      <w:pPr>
        <w:spacing w:line="360" w:lineRule="auto"/>
        <w:ind w:firstLine="420" w:firstLineChars="200"/>
        <w:rPr>
          <w:rFonts w:ascii="仿宋" w:hAnsi="仿宋" w:eastAsia="仿宋" w:cs="仿宋"/>
          <w:b/>
          <w:color w:val="auto"/>
          <w:szCs w:val="21"/>
          <w:highlight w:val="none"/>
        </w:rPr>
      </w:pPr>
      <w:bookmarkStart w:id="28" w:name="_Toc310494095"/>
      <w:r>
        <w:rPr>
          <w:rFonts w:hint="eastAsia" w:ascii="仿宋" w:hAnsi="仿宋" w:eastAsia="仿宋" w:cs="仿宋"/>
          <w:bCs/>
          <w:color w:val="auto"/>
          <w:szCs w:val="21"/>
          <w:highlight w:val="none"/>
        </w:rPr>
        <w:t>20.2</w:t>
      </w:r>
      <w:r>
        <w:rPr>
          <w:rFonts w:hint="eastAsia" w:ascii="仿宋" w:hAnsi="仿宋" w:eastAsia="仿宋" w:cs="仿宋"/>
          <w:b/>
          <w:color w:val="auto"/>
          <w:szCs w:val="21"/>
          <w:highlight w:val="none"/>
        </w:rPr>
        <w:t>参选文件有下列情形之一的，比选人不予受理参选文件：</w:t>
      </w:r>
      <w:bookmarkEnd w:id="28"/>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20.2.1逾期送达的或者未送达指定地点的。</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20.2.2未按比选文件要求密封的。</w:t>
      </w:r>
    </w:p>
    <w:p>
      <w:pPr>
        <w:spacing w:line="360" w:lineRule="auto"/>
        <w:ind w:firstLine="420" w:firstLineChars="200"/>
        <w:rPr>
          <w:rFonts w:ascii="仿宋" w:hAnsi="仿宋" w:eastAsia="仿宋" w:cs="仿宋"/>
          <w:b/>
          <w:color w:val="auto"/>
          <w:szCs w:val="21"/>
          <w:highlight w:val="none"/>
        </w:rPr>
      </w:pPr>
      <w:bookmarkStart w:id="29" w:name="_Toc310494096"/>
      <w:r>
        <w:rPr>
          <w:rFonts w:hint="eastAsia" w:ascii="仿宋" w:hAnsi="仿宋" w:eastAsia="仿宋" w:cs="仿宋"/>
          <w:bCs/>
          <w:color w:val="auto"/>
          <w:szCs w:val="21"/>
          <w:highlight w:val="none"/>
        </w:rPr>
        <w:t>20.3比选程序</w:t>
      </w:r>
      <w:bookmarkEnd w:id="29"/>
    </w:p>
    <w:p>
      <w:p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主持人按下列程序进行比选：</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（1）宣布开、评选纪律；</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（2）公布在比选截止时间前递交参选文件的比选申请人名称，并点名确认比选申请人是否派人到场并同时验证其比选申请人代表身份；</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（3）介绍与会人员，宣布比选人、唱标人、记录人等有关人员名单；</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（4）按照比选申请人须知前附表规定检查参选文件的密封情况；</w:t>
      </w:r>
    </w:p>
    <w:p>
      <w:pPr>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（5）比选申请人法定代表人（或法人授权委托人）、比选人代表、监督人、记录人等有关人员在比选记录上签字确认；</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szCs w:val="21"/>
          <w:highlight w:val="none"/>
        </w:rPr>
        <w:t>（6）比选结束。</w:t>
      </w: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24"/>
          <w:highlight w:val="none"/>
        </w:rPr>
        <w:t>六、评选</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21、评选委员会</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21.1评选由比选人依法组建的评选委员会负责。</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21.2评选委员会组成：评选委员会构成为 5人或以上的单数。</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21.3评委会应独立、公正、公平地工作，任何单位和个人不得干预其正常工作。</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21.4与比选申请人有利害关系的人员不得成为评选委员会成员。</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22、保密</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22.1评选全过程内容及参选文件的评比结果，不得向比选申请人和与该过程无关的其他单位和个人泄露。比选人无责任向比选申请人解释评选结果。</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22.2比选申请人对比选人和评选委员会施加影响的任何行为，都被取消参选资格。</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23、评选</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23.1参选文件有下列情形之一的，经评选委员会评审后按废标处理或被否决：</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（1）参选文件无单位盖章并无法定代表人或合法委托代理人签字的；</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（2）比选申请人递交两份或多份内容不同的参选文件，或在一份参选文件中对同一比选项目报有两个或多个报价，且未声明哪一个有效的，或超过规定参选报价控制价的；</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23.2评选委员会必须严格按照比选文件确定的评选标准和评选办法进行评审。评委应遵循公平、公正、客观、科学、独立、实事求是的评选原则。</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23.3 评选办法：严格按照比选文件的要求和标准，对比选申请人的参选文件进行评价。评选委员会按照“评选办法”规定的方法、评审因素、标准和程序对参选文件进行评审。评选顺序为：资格后审（见附表）、评选准备、初步评审和详细评审。</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23.4.1本次竞争性比选报价为</w:t>
      </w:r>
      <w:r>
        <w:rPr>
          <w:rFonts w:hint="eastAsia" w:ascii="仿宋" w:hAnsi="仿宋" w:eastAsia="仿宋" w:cs="仿宋"/>
          <w:b/>
          <w:bCs/>
          <w:color w:val="auto"/>
          <w:sz w:val="21"/>
          <w:szCs w:val="21"/>
          <w:highlight w:val="none"/>
          <w:u w:val="single"/>
        </w:rPr>
        <w:t xml:space="preserve"> 一 </w:t>
      </w:r>
      <w:r>
        <w:rPr>
          <w:rFonts w:hint="eastAsia" w:ascii="仿宋" w:hAnsi="仿宋" w:eastAsia="仿宋" w:cs="仿宋"/>
          <w:b/>
          <w:bCs/>
          <w:color w:val="auto"/>
          <w:sz w:val="21"/>
          <w:szCs w:val="21"/>
          <w:highlight w:val="none"/>
        </w:rPr>
        <w:t>次</w:t>
      </w:r>
      <w:r>
        <w:rPr>
          <w:rFonts w:hint="eastAsia" w:ascii="仿宋" w:hAnsi="仿宋" w:eastAsia="仿宋" w:cs="仿宋"/>
          <w:b w:val="0"/>
          <w:bCs w:val="0"/>
          <w:color w:val="auto"/>
          <w:sz w:val="21"/>
          <w:szCs w:val="21"/>
          <w:highlight w:val="none"/>
        </w:rPr>
        <w:t>报价。</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23.4.2报价公开唱标。</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23.4.3供应商的报价同时拆封，并造册登记，当众宣布，报价一旦报出，评选委员会不得要求供应商再次报价。</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23.4.4在评选委员会如认为供应商的报价明显不合理，可要求其在规定的时间内提供书面说明及相关证明材料，供应商如未响应则不能确定其为成交供应商。</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23.4.5参选报价文件及其比选过程中的书面承诺均具有法律效力，比选结束后均不能更改。</w:t>
      </w:r>
    </w:p>
    <w:p>
      <w:pPr>
        <w:pStyle w:val="29"/>
        <w:widowControl w:val="0"/>
        <w:spacing w:before="0" w:beforeAutospacing="0" w:after="0" w:afterAutospacing="0" w:line="360"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23.5评选委员会不承诺最低报价作为中选的唯一理由。</w:t>
      </w:r>
    </w:p>
    <w:p>
      <w:pPr>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24"/>
          <w:highlight w:val="none"/>
        </w:rPr>
        <w:t>七、授予合同</w:t>
      </w:r>
    </w:p>
    <w:p>
      <w:pPr>
        <w:spacing w:line="360" w:lineRule="auto"/>
        <w:rPr>
          <w:rFonts w:ascii="仿宋" w:hAnsi="仿宋" w:eastAsia="仿宋" w:cs="仿宋"/>
          <w:b/>
          <w:bCs/>
          <w:color w:val="auto"/>
          <w:highlight w:val="none"/>
        </w:rPr>
      </w:pPr>
      <w:bookmarkStart w:id="30" w:name="_Toc294206381"/>
      <w:r>
        <w:rPr>
          <w:rFonts w:hint="eastAsia" w:ascii="仿宋" w:hAnsi="仿宋" w:eastAsia="仿宋" w:cs="仿宋"/>
          <w:b/>
          <w:bCs/>
          <w:color w:val="auto"/>
          <w:highlight w:val="none"/>
        </w:rPr>
        <w:t>24、定标方式</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24.1由评选委员会推荐中选候选人，评选委员会推荐三个中选候选人并予排序。评选委员会提交书面评选报告。</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24.2比选人应当自收到评选报告和推荐中选候选人名单之日起，对推荐的中选候选人进行公示三个工作日。比选人应当在公示期满后确定中选人。评选和定标应当在比选后三十日内完成，不能按期完成的，比选人应当通知所有比选申请人延长期限。比选申请人拒绝延长的，退出候选人资格。</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24.3排名第一的中选候选人放弃中选、因不可抗力不能履行合同、不按照比选文件要求提交履约保证金，或者被查实存在影响中选结果的违法行为等情形，不符合中选条件的，比选人可以按照评选委员会提出的中选候选人名单排序依次确定其他中选候选人为中选人，也可以重新比选。</w:t>
      </w:r>
    </w:p>
    <w:p>
      <w:pPr>
        <w:spacing w:line="360" w:lineRule="auto"/>
        <w:rPr>
          <w:rFonts w:ascii="仿宋" w:hAnsi="仿宋" w:eastAsia="仿宋" w:cs="仿宋"/>
          <w:b/>
          <w:bCs/>
          <w:color w:val="auto"/>
          <w:highlight w:val="none"/>
        </w:rPr>
      </w:pPr>
      <w:bookmarkStart w:id="31" w:name="_Toc303947979"/>
      <w:r>
        <w:rPr>
          <w:rFonts w:hint="eastAsia" w:ascii="仿宋" w:hAnsi="仿宋" w:eastAsia="仿宋" w:cs="仿宋"/>
          <w:b/>
          <w:bCs/>
          <w:color w:val="auto"/>
          <w:highlight w:val="none"/>
        </w:rPr>
        <w:t>25、中选通知</w:t>
      </w:r>
      <w:bookmarkEnd w:id="31"/>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在本章规定的比选有效期内，比选人以书面形式向中选人发出中选通知书，同时将中选结果通知未中选的比选申请人。</w:t>
      </w:r>
    </w:p>
    <w:p>
      <w:pPr>
        <w:spacing w:line="360" w:lineRule="auto"/>
        <w:rPr>
          <w:rFonts w:ascii="仿宋" w:hAnsi="仿宋" w:eastAsia="仿宋" w:cs="仿宋"/>
          <w:b/>
          <w:bCs/>
          <w:color w:val="auto"/>
          <w:highlight w:val="none"/>
        </w:rPr>
      </w:pPr>
      <w:bookmarkStart w:id="32" w:name="_Hlt226608347"/>
      <w:bookmarkEnd w:id="32"/>
      <w:bookmarkStart w:id="33" w:name="_Toc303947981"/>
      <w:r>
        <w:rPr>
          <w:rFonts w:hint="eastAsia" w:ascii="仿宋" w:hAnsi="仿宋" w:eastAsia="仿宋" w:cs="仿宋"/>
          <w:b/>
          <w:bCs/>
          <w:color w:val="auto"/>
          <w:highlight w:val="none"/>
        </w:rPr>
        <w:t>26、签订合同</w:t>
      </w:r>
      <w:bookmarkEnd w:id="33"/>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26.1比选人和中选人另行商订。</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八、重新比选</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27、比选有下列情形之一的，比选人将重新比选：</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27.1比选截止时间止，比选申请人少于3个的。</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27.2经评选委员会评审后否决所有参选的。</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九、纪律和监督</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28、对比选人的纪律要求</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28.1比选人不得泄漏比选活动中应当保密的情况和资料，不得与比选申请人串通损害国家利益、社会公共利益或者他人合法权益。</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29、对比选申请人的纪律要求</w:t>
      </w:r>
    </w:p>
    <w:p>
      <w:pPr>
        <w:spacing w:line="360" w:lineRule="auto"/>
        <w:ind w:firstLine="315" w:firstLineChars="150"/>
        <w:rPr>
          <w:rFonts w:ascii="仿宋" w:hAnsi="仿宋" w:eastAsia="仿宋" w:cs="仿宋"/>
          <w:color w:val="auto"/>
          <w:highlight w:val="none"/>
        </w:rPr>
      </w:pPr>
      <w:r>
        <w:rPr>
          <w:rFonts w:hint="eastAsia" w:ascii="仿宋" w:hAnsi="仿宋" w:eastAsia="仿宋" w:cs="仿宋"/>
          <w:color w:val="auto"/>
          <w:highlight w:val="none"/>
        </w:rPr>
        <w:t>29.1比选申请人不得相互串通参选或者与比选人串通参选，不得向比选人或者评选委员会成员行贿谋取中选，不得以他人名义参选或者以其他方式弄虚作假骗取中选；比选申请人不得以任何方式干扰、影响评选工作。</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30、对评选委员会成员的纪律要求</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评选委员会成员不得收受他人的财物或者其他好处，不得向他人透漏对参选文件的评审和比较、中选候选人的推荐情况以及评选有关的其他情况。在评选活动中，评选委员会成员不得擅离职守，影响评选程序正常进行，不得使用“评选办法”没有规定的评审因素和标准进行评选。</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31、对与评选活动有关的工作人员的纪律要求</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p>
    <w:p>
      <w:pPr>
        <w:spacing w:line="360" w:lineRule="auto"/>
        <w:rPr>
          <w:rFonts w:ascii="仿宋" w:hAnsi="仿宋" w:eastAsia="仿宋" w:cs="仿宋"/>
          <w:b/>
          <w:bCs/>
          <w:color w:val="auto"/>
          <w:highlight w:val="none"/>
        </w:rPr>
      </w:pPr>
      <w:r>
        <w:rPr>
          <w:rFonts w:hint="eastAsia" w:ascii="仿宋" w:hAnsi="仿宋" w:eastAsia="仿宋" w:cs="仿宋"/>
          <w:b/>
          <w:bCs/>
          <w:color w:val="auto"/>
          <w:highlight w:val="none"/>
        </w:rPr>
        <w:t>32、投诉</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 xml:space="preserve">比选申请人和其他利害关系人认为本次比选活动违反法律、法规和规章规定的，有权向有关行政监督部门投诉。 </w:t>
      </w:r>
    </w:p>
    <w:p>
      <w:pPr>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十、需要补充的其他内容</w:t>
      </w:r>
    </w:p>
    <w:p>
      <w:pPr>
        <w:spacing w:line="360" w:lineRule="auto"/>
        <w:ind w:left="210" w:hanging="210" w:hangingChars="100"/>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需要补充的其他内容：见比选申请人须知前附表。</w:t>
      </w:r>
    </w:p>
    <w:bookmarkEnd w:id="30"/>
    <w:p>
      <w:pPr>
        <w:spacing w:line="360" w:lineRule="auto"/>
        <w:rPr>
          <w:rFonts w:ascii="仿宋" w:hAnsi="仿宋" w:eastAsia="仿宋" w:cs="仿宋"/>
          <w:color w:val="auto"/>
          <w:highlight w:val="none"/>
        </w:rPr>
      </w:pPr>
      <w:bookmarkStart w:id="34" w:name="_Toc470118702"/>
    </w:p>
    <w:p>
      <w:pPr>
        <w:outlineLvl w:val="0"/>
        <w:rPr>
          <w:rFonts w:ascii="宋体" w:hAnsi="宋体" w:cs="宋体"/>
          <w:color w:val="auto"/>
          <w:sz w:val="24"/>
          <w:highlight w:val="none"/>
        </w:rPr>
      </w:pPr>
      <w:r>
        <w:rPr>
          <w:rFonts w:hint="eastAsia" w:ascii="仿宋" w:hAnsi="仿宋" w:eastAsia="仿宋" w:cs="仿宋"/>
          <w:color w:val="auto"/>
          <w:highlight w:val="none"/>
        </w:rPr>
        <w:br w:type="page"/>
      </w:r>
      <w:bookmarkEnd w:id="34"/>
    </w:p>
    <w:p>
      <w:pPr>
        <w:pStyle w:val="3"/>
        <w:spacing w:line="360" w:lineRule="auto"/>
        <w:ind w:left="0" w:firstLine="0"/>
        <w:rPr>
          <w:rFonts w:ascii="仿宋" w:hAnsi="仿宋" w:eastAsia="仿宋" w:cs="仿宋"/>
          <w:color w:val="auto"/>
          <w:sz w:val="32"/>
          <w:szCs w:val="32"/>
          <w:highlight w:val="none"/>
        </w:rPr>
      </w:pPr>
      <w:bookmarkStart w:id="35" w:name="_Toc294206384"/>
      <w:r>
        <w:rPr>
          <w:rFonts w:hint="eastAsia" w:ascii="仿宋" w:hAnsi="仿宋" w:eastAsia="仿宋" w:cs="仿宋"/>
          <w:color w:val="auto"/>
          <w:sz w:val="32"/>
          <w:szCs w:val="32"/>
          <w:highlight w:val="none"/>
        </w:rPr>
        <w:t>第三章  采购需求</w:t>
      </w:r>
    </w:p>
    <w:p>
      <w:pPr>
        <w:spacing w:line="360" w:lineRule="auto"/>
        <w:ind w:firstLine="480" w:firstLineChars="200"/>
        <w:rPr>
          <w:rFonts w:hint="eastAsia" w:ascii="仿宋" w:hAnsi="仿宋" w:eastAsia="仿宋" w:cs="仿宋"/>
          <w:b/>
          <w:bCs/>
          <w:sz w:val="24"/>
          <w:szCs w:val="32"/>
          <w:highlight w:val="none"/>
          <w:lang w:val="en-US" w:eastAsia="zh-CN"/>
        </w:rPr>
      </w:pPr>
      <w:r>
        <w:rPr>
          <w:rFonts w:hint="eastAsia" w:ascii="仿宋" w:hAnsi="仿宋" w:eastAsia="仿宋" w:cs="仿宋"/>
          <w:b/>
          <w:bCs/>
          <w:sz w:val="24"/>
          <w:szCs w:val="32"/>
          <w:highlight w:val="none"/>
          <w:lang w:val="en-US" w:eastAsia="zh-CN"/>
        </w:rPr>
        <w:t>一、建设内容</w:t>
      </w:r>
    </w:p>
    <w:p>
      <w:pPr>
        <w:spacing w:line="360" w:lineRule="auto"/>
        <w:ind w:firstLine="480" w:firstLineChars="200"/>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比选申请人需根据各站实际情况，采用IP形象玻璃钢及互动艺术装置进行布置，具体内容如下：</w:t>
      </w:r>
    </w:p>
    <w:p>
      <w:pPr>
        <w:spacing w:line="360" w:lineRule="auto"/>
        <w:ind w:firstLine="480" w:firstLineChars="200"/>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定制IP形象玻璃钢22个（不同造型），制作工艺要求使用4层纤维网，连接处使用钢龙骨，同时要求设计22个不同姿态3D模型，摆放位置如下：凤凰古城（磁浮）站布置6个，均为站姿，其中1.6m高4个（站厅层1个，站台层3个），1.8m高2个（布置在站厅层入口两侧）；凤凰迎宾站布置4个，均位于站台层，其中1.2m高2个（坐姿），1.6m高2个（站姿）；凤凰揽胜站共布置8个，均为站姿，一层1个（1.8m），二层3个（1.6m），三层4个（1.8m、2.2m、1.6m*2）；凤凰等待站布置IP形象4个，均位于站台层，其中1.2m高2个（坐姿），1.6m高2个（站姿）。定制固定网红拍照打卡点3个，凤凰古城站放置大型网红拍照相框2个，凤凰等待站放置IP形象拍照点1个。</w:t>
      </w:r>
    </w:p>
    <w:p>
      <w:pPr>
        <w:spacing w:line="360" w:lineRule="auto"/>
        <w:ind w:firstLine="480" w:firstLineChars="200"/>
        <w:rPr>
          <w:rFonts w:hint="eastAsia"/>
          <w:lang w:val="en-US" w:eastAsia="zh-CN"/>
        </w:rPr>
      </w:pPr>
      <w:r>
        <w:rPr>
          <w:rFonts w:hint="eastAsia" w:ascii="仿宋" w:hAnsi="仿宋" w:eastAsia="仿宋" w:cs="仿宋"/>
          <w:sz w:val="24"/>
          <w:szCs w:val="32"/>
          <w:highlight w:val="none"/>
          <w:lang w:val="en-US" w:eastAsia="zh-CN"/>
        </w:rPr>
        <w:t>定制固定互动艺术装置三套，凤凰揽胜站站台层布置多人秋千1套，长度不低于6米；在凤凰揽胜站站厅层布置艺术秋千2套，秋千直径不低于1m，；在凤凰揽胜站一层布置体感互动翅膀一套，高度不低于3m。所有互动艺术装置均需进行深化美陈设计，并对其周边环境进行美化和施工，赋予艺术装置“凤凰磁浮文旅”的独有属性，达到吸引游客拍照打卡的效果。</w:t>
      </w:r>
    </w:p>
    <w:p>
      <w:pPr>
        <w:spacing w:line="360" w:lineRule="auto"/>
        <w:ind w:firstLine="480" w:firstLineChars="200"/>
        <w:rPr>
          <w:rFonts w:hint="eastAsia" w:ascii="仿宋" w:hAnsi="仿宋" w:eastAsia="仿宋" w:cs="仿宋"/>
          <w:b/>
          <w:bCs/>
          <w:sz w:val="24"/>
          <w:szCs w:val="32"/>
          <w:highlight w:val="none"/>
          <w:lang w:val="en-US" w:eastAsia="zh-CN"/>
        </w:rPr>
      </w:pPr>
      <w:r>
        <w:rPr>
          <w:rFonts w:hint="eastAsia" w:ascii="仿宋" w:hAnsi="仿宋" w:eastAsia="仿宋" w:cs="仿宋"/>
          <w:b/>
          <w:bCs/>
          <w:sz w:val="24"/>
          <w:szCs w:val="32"/>
          <w:highlight w:val="none"/>
          <w:lang w:val="en-US" w:eastAsia="zh-CN"/>
        </w:rPr>
        <w:t>二、服务周期及竣工日期</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仿宋" w:hAnsi="仿宋" w:eastAsia="仿宋" w:cs="仿宋"/>
          <w:sz w:val="24"/>
          <w:szCs w:val="32"/>
          <w:highlight w:val="none"/>
          <w:lang w:val="en-US" w:eastAsia="zh-CN"/>
        </w:rPr>
        <w:t>服务周期：合同签订日起60个自然日内，质保期1年</w:t>
      </w:r>
      <w:r>
        <w:rPr>
          <w:rFonts w:hint="eastAsia" w:ascii="宋体" w:hAnsi="宋体" w:eastAsia="宋体" w:cs="宋体"/>
          <w:b w:val="0"/>
          <w:bCs w:val="0"/>
          <w:sz w:val="24"/>
          <w:szCs w:val="24"/>
          <w:lang w:val="en-US" w:eastAsia="zh-CN"/>
        </w:rPr>
        <w:t>。</w:t>
      </w:r>
    </w:p>
    <w:p>
      <w:pPr>
        <w:numPr>
          <w:ilvl w:val="0"/>
          <w:numId w:val="1"/>
        </w:numPr>
        <w:spacing w:line="360" w:lineRule="auto"/>
        <w:ind w:firstLine="480" w:firstLineChars="200"/>
        <w:rPr>
          <w:rFonts w:hint="eastAsia" w:ascii="仿宋" w:hAnsi="仿宋" w:eastAsia="仿宋" w:cs="仿宋"/>
          <w:b/>
          <w:bCs/>
          <w:sz w:val="24"/>
          <w:szCs w:val="32"/>
          <w:highlight w:val="none"/>
          <w:lang w:val="en-US" w:eastAsia="zh-CN"/>
        </w:rPr>
      </w:pPr>
      <w:r>
        <w:rPr>
          <w:rFonts w:hint="eastAsia" w:ascii="仿宋" w:hAnsi="仿宋" w:eastAsia="仿宋" w:cs="仿宋"/>
          <w:b/>
          <w:bCs/>
          <w:sz w:val="24"/>
          <w:szCs w:val="32"/>
          <w:highlight w:val="none"/>
          <w:lang w:val="en-US" w:eastAsia="zh-CN"/>
        </w:rPr>
        <w:t>合同形式</w:t>
      </w:r>
    </w:p>
    <w:p>
      <w:pPr>
        <w:spacing w:line="360" w:lineRule="auto"/>
        <w:ind w:firstLine="480" w:firstLineChars="200"/>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采用总价上限、单价结算的合同形式。</w:t>
      </w:r>
    </w:p>
    <w:p>
      <w:pPr>
        <w:spacing w:line="360" w:lineRule="auto"/>
        <w:ind w:firstLine="480" w:firstLineChars="200"/>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按实施数量*单价的方式计算实际费用；当实际费用未超过合同总价时，按实际费用进行结算；当实际费用超过合同总价时，按合同总价进行结算。</w:t>
      </w:r>
    </w:p>
    <w:p>
      <w:pPr>
        <w:spacing w:line="360" w:lineRule="auto"/>
        <w:ind w:firstLine="480" w:firstLineChars="200"/>
        <w:rPr>
          <w:rFonts w:hint="default" w:ascii="仿宋" w:hAnsi="仿宋" w:eastAsia="仿宋" w:cs="仿宋"/>
          <w:sz w:val="24"/>
          <w:szCs w:val="32"/>
          <w:highlight w:val="none"/>
          <w:u w:val="single"/>
          <w:lang w:val="en-US" w:eastAsia="zh-CN"/>
        </w:rPr>
      </w:pPr>
      <w:r>
        <w:rPr>
          <w:rFonts w:hint="eastAsia" w:ascii="仿宋" w:hAnsi="仿宋" w:eastAsia="仿宋" w:cs="仿宋"/>
          <w:sz w:val="24"/>
          <w:szCs w:val="32"/>
          <w:highlight w:val="none"/>
          <w:u w:val="single"/>
          <w:lang w:val="en-US" w:eastAsia="zh-CN"/>
        </w:rPr>
        <w:t>比选申请人应根据比选人的要求按批交付。比选申请人在每批产品生产制作前，应告知比选人，得到比选人的确认后方可进行生产。因比选申请人未得到比选人的确认而擅自制作的产品，比选人有权拒收并不引起索赔争议。</w:t>
      </w:r>
    </w:p>
    <w:p>
      <w:pPr>
        <w:spacing w:line="360" w:lineRule="auto"/>
        <w:ind w:firstLine="480" w:firstLineChars="200"/>
        <w:rPr>
          <w:rFonts w:hint="default"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如比选申请人实施的产品达不到预期的展示效果，比选人有权取消尚未实施的部分。比选申请人参与本项目的比选，视为同意该取消行为，并不引起索赔争议。</w:t>
      </w:r>
    </w:p>
    <w:p>
      <w:pPr>
        <w:numPr>
          <w:ilvl w:val="0"/>
          <w:numId w:val="1"/>
        </w:numPr>
        <w:spacing w:line="360" w:lineRule="auto"/>
        <w:ind w:firstLine="480" w:firstLineChars="200"/>
        <w:rPr>
          <w:rFonts w:hint="eastAsia" w:ascii="仿宋" w:hAnsi="仿宋" w:eastAsia="仿宋" w:cs="仿宋"/>
          <w:b/>
          <w:bCs/>
          <w:sz w:val="24"/>
          <w:szCs w:val="32"/>
          <w:highlight w:val="none"/>
          <w:lang w:val="en-US" w:eastAsia="zh-CN"/>
        </w:rPr>
      </w:pPr>
      <w:r>
        <w:rPr>
          <w:rFonts w:hint="eastAsia" w:ascii="仿宋" w:hAnsi="仿宋" w:eastAsia="仿宋" w:cs="仿宋"/>
          <w:b/>
          <w:bCs/>
          <w:sz w:val="24"/>
          <w:szCs w:val="32"/>
          <w:highlight w:val="none"/>
          <w:lang w:val="en-US" w:eastAsia="zh-CN"/>
        </w:rPr>
        <w:t>成果验收及支付方式</w:t>
      </w:r>
    </w:p>
    <w:p>
      <w:pPr>
        <w:numPr>
          <w:ilvl w:val="0"/>
          <w:numId w:val="0"/>
        </w:numPr>
        <w:spacing w:line="360" w:lineRule="auto"/>
        <w:rPr>
          <w:rFonts w:hint="eastAsia" w:ascii="仿宋" w:hAnsi="仿宋" w:eastAsia="仿宋" w:cs="仿宋"/>
          <w:b/>
          <w:bCs/>
          <w:sz w:val="24"/>
          <w:szCs w:val="32"/>
          <w:highlight w:val="none"/>
          <w:lang w:val="en-US" w:eastAsia="zh-CN"/>
        </w:rPr>
      </w:pPr>
      <w:r>
        <w:rPr>
          <w:rFonts w:hint="eastAsia"/>
          <w:lang w:val="en-US" w:eastAsia="zh-CN"/>
        </w:rPr>
        <w:t xml:space="preserve"> </w:t>
      </w:r>
      <w:r>
        <w:rPr>
          <w:rFonts w:hint="eastAsia" w:ascii="仿宋" w:hAnsi="仿宋" w:eastAsia="仿宋" w:cs="仿宋"/>
          <w:b/>
          <w:bCs/>
          <w:sz w:val="24"/>
          <w:szCs w:val="32"/>
          <w:highlight w:val="none"/>
          <w:lang w:val="en-US" w:eastAsia="zh-CN"/>
        </w:rPr>
        <w:t xml:space="preserve"> </w:t>
      </w:r>
      <w:r>
        <w:rPr>
          <w:rFonts w:hint="eastAsia" w:ascii="仿宋" w:hAnsi="仿宋" w:eastAsia="仿宋" w:cs="仿宋"/>
          <w:sz w:val="24"/>
          <w:szCs w:val="32"/>
          <w:highlight w:val="none"/>
          <w:u w:val="none"/>
          <w:lang w:val="en-US" w:eastAsia="zh-CN"/>
        </w:rPr>
        <w:t xml:space="preserve"> 拟采取阶段支付方式完成产品费用支付。合同签订后，服务单位提供合规发票一个月内，支付合同金额的30%；完成项目设计、制作、施工及现场安装，验收合格后，服务单位提供合规发票后一个月内，支付合同金额的50%。结算初审后支付至结算金额的90%；结算复审完成后，支付至复审金额的97%。服务单位应提供符合比选人要求的增值税专用发票，质保期1年。</w:t>
      </w:r>
    </w:p>
    <w:p>
      <w:pPr>
        <w:spacing w:line="360" w:lineRule="auto"/>
        <w:ind w:firstLine="480" w:firstLineChars="200"/>
        <w:rPr>
          <w:rFonts w:ascii="黑体" w:hAnsi="黑体" w:eastAsia="黑体" w:cs="黑体"/>
          <w:kern w:val="1"/>
          <w:sz w:val="32"/>
          <w:szCs w:val="32"/>
        </w:rPr>
      </w:pPr>
      <w:r>
        <w:rPr>
          <w:rFonts w:hint="eastAsia" w:ascii="仿宋" w:hAnsi="仿宋" w:eastAsia="仿宋" w:cs="仿宋"/>
          <w:b/>
          <w:bCs/>
          <w:sz w:val="24"/>
          <w:szCs w:val="32"/>
          <w:highlight w:val="none"/>
          <w:lang w:val="en-US" w:eastAsia="zh-CN"/>
        </w:rPr>
        <w:t>四、评标委员会</w:t>
      </w:r>
    </w:p>
    <w:p>
      <w:pPr>
        <w:ind w:firstLine="480" w:firstLineChars="200"/>
        <w:rPr>
          <w:color w:val="auto"/>
          <w:highlight w:val="none"/>
        </w:rPr>
      </w:pPr>
      <w:r>
        <w:rPr>
          <w:rFonts w:hint="eastAsia" w:ascii="仿宋" w:hAnsi="仿宋" w:eastAsia="仿宋" w:cs="仿宋"/>
          <w:sz w:val="24"/>
          <w:szCs w:val="32"/>
          <w:highlight w:val="none"/>
          <w:lang w:val="en-US" w:eastAsia="zh-CN"/>
        </w:rPr>
        <w:t>拟由5人或5人以上单数组成，其中，经营开发部2人，其余人员随机抽选。</w:t>
      </w:r>
    </w:p>
    <w:p>
      <w:pPr>
        <w:rPr>
          <w:color w:val="auto"/>
          <w:highlight w:val="none"/>
        </w:rPr>
      </w:pPr>
    </w:p>
    <w:p>
      <w:pPr>
        <w:jc w:val="center"/>
        <w:rPr>
          <w:rFonts w:hint="eastAsia" w:ascii="仿宋" w:hAnsi="仿宋" w:eastAsia="仿宋" w:cs="仿宋"/>
          <w:color w:val="auto"/>
          <w:sz w:val="32"/>
          <w:szCs w:val="32"/>
          <w:highlight w:val="none"/>
        </w:rPr>
      </w:pPr>
      <w:bookmarkStart w:id="36" w:name="_Toc9828"/>
      <w:bookmarkStart w:id="37" w:name="_Toc710"/>
    </w:p>
    <w:p>
      <w:pPr>
        <w:jc w:val="center"/>
        <w:rPr>
          <w:rFonts w:hint="eastAsia" w:ascii="仿宋" w:hAnsi="仿宋" w:eastAsia="仿宋" w:cs="仿宋"/>
          <w:color w:val="auto"/>
          <w:sz w:val="32"/>
          <w:szCs w:val="32"/>
          <w:highlight w:val="none"/>
        </w:rPr>
      </w:pPr>
    </w:p>
    <w:p>
      <w:pPr>
        <w:jc w:val="center"/>
        <w:rPr>
          <w:rFonts w:hint="eastAsia" w:ascii="仿宋" w:hAnsi="仿宋" w:eastAsia="仿宋" w:cs="仿宋"/>
          <w:color w:val="auto"/>
          <w:sz w:val="32"/>
          <w:szCs w:val="32"/>
          <w:highlight w:val="none"/>
        </w:rPr>
      </w:pPr>
    </w:p>
    <w:p>
      <w:pPr>
        <w:jc w:val="center"/>
        <w:rPr>
          <w:rFonts w:hint="eastAsia" w:ascii="仿宋" w:hAnsi="仿宋" w:eastAsia="仿宋" w:cs="仿宋"/>
          <w:color w:val="auto"/>
          <w:sz w:val="32"/>
          <w:szCs w:val="32"/>
          <w:highlight w:val="none"/>
        </w:rPr>
      </w:pPr>
    </w:p>
    <w:p>
      <w:pPr>
        <w:jc w:val="cente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第四章  参选文件的组成及格式</w:t>
      </w:r>
      <w:bookmarkEnd w:id="35"/>
      <w:bookmarkEnd w:id="36"/>
      <w:bookmarkEnd w:id="37"/>
    </w:p>
    <w:p>
      <w:pPr>
        <w:spacing w:line="360" w:lineRule="auto"/>
        <w:rPr>
          <w:rFonts w:ascii="仿宋" w:hAnsi="仿宋" w:eastAsia="仿宋" w:cs="仿宋"/>
          <w:color w:val="auto"/>
          <w:highlight w:val="none"/>
        </w:rPr>
      </w:pPr>
    </w:p>
    <w:tbl>
      <w:tblPr>
        <w:tblStyle w:val="33"/>
        <w:tblW w:w="2081" w:type="dxa"/>
        <w:tblInd w:w="6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81" w:type="dxa"/>
          </w:tcPr>
          <w:p>
            <w:pPr>
              <w:spacing w:line="360" w:lineRule="auto"/>
              <w:ind w:firstLine="140" w:firstLineChars="50"/>
              <w:rPr>
                <w:rFonts w:ascii="仿宋" w:hAnsi="仿宋" w:eastAsia="仿宋" w:cs="仿宋"/>
                <w:color w:val="auto"/>
                <w:sz w:val="32"/>
                <w:szCs w:val="32"/>
                <w:highlight w:val="none"/>
              </w:rPr>
            </w:pPr>
            <w:r>
              <w:rPr>
                <w:rFonts w:hint="eastAsia" w:ascii="仿宋" w:hAnsi="仿宋" w:eastAsia="仿宋" w:cs="仿宋"/>
                <w:color w:val="auto"/>
                <w:sz w:val="28"/>
                <w:szCs w:val="28"/>
                <w:highlight w:val="none"/>
              </w:rPr>
              <w:t>正本或副本</w:t>
            </w:r>
          </w:p>
        </w:tc>
      </w:tr>
    </w:tbl>
    <w:p>
      <w:pPr>
        <w:spacing w:line="360" w:lineRule="auto"/>
        <w:rPr>
          <w:rFonts w:ascii="仿宋" w:hAnsi="仿宋" w:eastAsia="仿宋" w:cs="仿宋"/>
          <w:color w:val="auto"/>
          <w:highlight w:val="none"/>
        </w:rPr>
      </w:pPr>
      <w:bookmarkStart w:id="38" w:name="_Toc64781041"/>
      <w:bookmarkStart w:id="39" w:name="_Toc310261318"/>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jc w:val="center"/>
        <w:rPr>
          <w:rFonts w:hint="eastAsia" w:ascii="仿宋" w:hAnsi="仿宋" w:eastAsia="仿宋" w:cs="仿宋"/>
          <w:b/>
          <w:bCs/>
          <w:color w:val="auto"/>
          <w:sz w:val="36"/>
          <w:szCs w:val="36"/>
          <w:highlight w:val="none"/>
          <w:u w:val="single"/>
          <w:lang w:val="en-US" w:eastAsia="zh-CN"/>
        </w:rPr>
      </w:pPr>
      <w:r>
        <w:rPr>
          <w:rFonts w:hint="eastAsia" w:ascii="仿宋" w:hAnsi="仿宋" w:eastAsia="仿宋" w:cs="仿宋"/>
          <w:b/>
          <w:bCs/>
          <w:color w:val="auto"/>
          <w:sz w:val="36"/>
          <w:szCs w:val="36"/>
          <w:highlight w:val="none"/>
        </w:rPr>
        <w:t>凤凰磁浮文化旅游</w:t>
      </w:r>
      <w:r>
        <w:rPr>
          <w:rFonts w:hint="eastAsia" w:ascii="仿宋" w:hAnsi="仿宋" w:eastAsia="仿宋" w:cs="仿宋"/>
          <w:b/>
          <w:bCs/>
          <w:color w:val="auto"/>
          <w:sz w:val="36"/>
          <w:szCs w:val="36"/>
          <w:highlight w:val="none"/>
          <w:lang w:val="en-US" w:eastAsia="zh-CN"/>
        </w:rPr>
        <w:t>有限责任</w:t>
      </w:r>
      <w:r>
        <w:rPr>
          <w:rFonts w:hint="eastAsia" w:ascii="仿宋" w:hAnsi="仿宋" w:eastAsia="仿宋" w:cs="仿宋"/>
          <w:b/>
          <w:bCs/>
          <w:color w:val="auto"/>
          <w:sz w:val="36"/>
          <w:szCs w:val="36"/>
          <w:highlight w:val="none"/>
          <w:u w:val="none"/>
          <w:lang w:val="en-US" w:eastAsia="zh-CN"/>
        </w:rPr>
        <w:t>公司</w:t>
      </w:r>
    </w:p>
    <w:p>
      <w:pPr>
        <w:jc w:val="center"/>
        <w:rPr>
          <w:rFonts w:hint="eastAsia" w:ascii="仿宋" w:hAnsi="仿宋" w:eastAsia="仿宋" w:cs="仿宋"/>
          <w:b/>
          <w:bCs/>
          <w:color w:val="auto"/>
          <w:sz w:val="36"/>
          <w:szCs w:val="36"/>
          <w:highlight w:val="none"/>
          <w:u w:val="none"/>
          <w:lang w:val="en-US" w:eastAsia="zh-CN"/>
        </w:rPr>
      </w:pPr>
      <w:r>
        <w:rPr>
          <w:rFonts w:hint="eastAsia" w:ascii="仿宋" w:hAnsi="仿宋" w:eastAsia="仿宋" w:cs="仿宋"/>
          <w:b/>
          <w:bCs/>
          <w:color w:val="auto"/>
          <w:sz w:val="36"/>
          <w:szCs w:val="36"/>
          <w:highlight w:val="none"/>
          <w:u w:val="none"/>
          <w:lang w:val="en-US" w:eastAsia="zh-CN"/>
        </w:rPr>
        <w:t>车站固定艺术装置设计、制作及安装</w:t>
      </w:r>
    </w:p>
    <w:p>
      <w:pPr>
        <w:spacing w:line="360" w:lineRule="auto"/>
        <w:jc w:val="center"/>
        <w:rPr>
          <w:rFonts w:ascii="仿宋" w:hAnsi="仿宋" w:eastAsia="仿宋" w:cs="仿宋"/>
          <w:b/>
          <w:bCs/>
          <w:color w:val="auto"/>
          <w:sz w:val="36"/>
          <w:szCs w:val="36"/>
          <w:highlight w:val="none"/>
          <w:u w:val="single"/>
        </w:rPr>
      </w:pPr>
    </w:p>
    <w:p>
      <w:pPr>
        <w:spacing w:line="360" w:lineRule="auto"/>
        <w:rPr>
          <w:rFonts w:ascii="仿宋" w:hAnsi="仿宋" w:eastAsia="仿宋" w:cs="仿宋"/>
          <w:b/>
          <w:bCs/>
          <w:color w:val="auto"/>
          <w:sz w:val="36"/>
          <w:szCs w:val="36"/>
          <w:highlight w:val="none"/>
        </w:rPr>
      </w:pPr>
    </w:p>
    <w:p>
      <w:pPr>
        <w:spacing w:line="360" w:lineRule="auto"/>
        <w:rPr>
          <w:rFonts w:ascii="仿宋" w:hAnsi="仿宋" w:eastAsia="仿宋" w:cs="仿宋"/>
          <w:b/>
          <w:bCs/>
          <w:color w:val="auto"/>
          <w:sz w:val="36"/>
          <w:szCs w:val="36"/>
          <w:highlight w:val="none"/>
        </w:rPr>
      </w:pPr>
    </w:p>
    <w:p>
      <w:pPr>
        <w:spacing w:line="360" w:lineRule="auto"/>
        <w:jc w:val="center"/>
        <w:rPr>
          <w:rFonts w:ascii="仿宋" w:hAnsi="仿宋" w:eastAsia="仿宋" w:cs="仿宋"/>
          <w:color w:val="auto"/>
          <w:sz w:val="26"/>
          <w:szCs w:val="26"/>
          <w:highlight w:val="none"/>
        </w:rPr>
      </w:pPr>
      <w:r>
        <w:rPr>
          <w:rFonts w:hint="eastAsia" w:ascii="仿宋" w:hAnsi="仿宋" w:eastAsia="仿宋" w:cs="仿宋"/>
          <w:b/>
          <w:bCs/>
          <w:color w:val="auto"/>
          <w:spacing w:val="160"/>
          <w:sz w:val="89"/>
          <w:szCs w:val="89"/>
          <w:highlight w:val="none"/>
        </w:rPr>
        <w:t xml:space="preserve"> 参 选 文 件</w:t>
      </w:r>
    </w:p>
    <w:p>
      <w:pPr>
        <w:spacing w:line="360" w:lineRule="auto"/>
        <w:rPr>
          <w:rFonts w:ascii="仿宋" w:hAnsi="仿宋" w:eastAsia="仿宋" w:cs="仿宋"/>
          <w:color w:val="auto"/>
          <w:sz w:val="26"/>
          <w:szCs w:val="26"/>
          <w:highlight w:val="none"/>
        </w:rPr>
      </w:pPr>
    </w:p>
    <w:p>
      <w:pPr>
        <w:spacing w:line="360" w:lineRule="auto"/>
        <w:rPr>
          <w:rFonts w:ascii="仿宋" w:hAnsi="仿宋" w:eastAsia="仿宋" w:cs="仿宋"/>
          <w:color w:val="auto"/>
          <w:sz w:val="26"/>
          <w:szCs w:val="26"/>
          <w:highlight w:val="none"/>
        </w:rPr>
      </w:pPr>
    </w:p>
    <w:p>
      <w:pPr>
        <w:spacing w:line="360" w:lineRule="auto"/>
        <w:rPr>
          <w:rFonts w:ascii="仿宋" w:hAnsi="仿宋" w:eastAsia="仿宋" w:cs="仿宋"/>
          <w:color w:val="auto"/>
          <w:sz w:val="26"/>
          <w:szCs w:val="26"/>
          <w:highlight w:val="none"/>
        </w:rPr>
      </w:pPr>
    </w:p>
    <w:p>
      <w:pPr>
        <w:spacing w:line="360" w:lineRule="auto"/>
        <w:rPr>
          <w:rFonts w:ascii="仿宋" w:hAnsi="仿宋" w:eastAsia="仿宋" w:cs="仿宋"/>
          <w:color w:val="auto"/>
          <w:sz w:val="26"/>
          <w:szCs w:val="26"/>
          <w:highlight w:val="none"/>
        </w:rPr>
      </w:pPr>
    </w:p>
    <w:p>
      <w:pPr>
        <w:spacing w:line="360" w:lineRule="auto"/>
        <w:rPr>
          <w:rFonts w:ascii="仿宋" w:hAnsi="仿宋" w:eastAsia="仿宋" w:cs="仿宋"/>
          <w:color w:val="auto"/>
          <w:sz w:val="10"/>
          <w:szCs w:val="10"/>
          <w:highlight w:val="none"/>
        </w:rPr>
      </w:pPr>
    </w:p>
    <w:p>
      <w:pPr>
        <w:spacing w:line="360" w:lineRule="auto"/>
        <w:ind w:firstLine="770" w:firstLineChars="321"/>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rPr>
        <w:t xml:space="preserve">              参 选 人：</w:t>
      </w:r>
      <w:r>
        <w:rPr>
          <w:rFonts w:hint="eastAsia" w:ascii="仿宋" w:hAnsi="仿宋" w:eastAsia="仿宋" w:cs="仿宋"/>
          <w:b/>
          <w:bCs/>
          <w:color w:val="auto"/>
          <w:sz w:val="24"/>
          <w:highlight w:val="none"/>
          <w:u w:val="single"/>
        </w:rPr>
        <w:t>（盖比选申请人单位公章）</w:t>
      </w:r>
    </w:p>
    <w:p>
      <w:pPr>
        <w:spacing w:line="360" w:lineRule="auto"/>
        <w:ind w:firstLine="770" w:firstLineChars="321"/>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法定代表人或授权委托人：</w:t>
      </w:r>
      <w:r>
        <w:rPr>
          <w:rFonts w:hint="eastAsia" w:ascii="仿宋" w:hAnsi="仿宋" w:eastAsia="仿宋" w:cs="仿宋"/>
          <w:b/>
          <w:bCs/>
          <w:color w:val="auto"/>
          <w:sz w:val="24"/>
          <w:highlight w:val="none"/>
          <w:u w:val="single"/>
        </w:rPr>
        <w:t>（签字或盖章）</w:t>
      </w:r>
    </w:p>
    <w:p>
      <w:pPr>
        <w:spacing w:line="360" w:lineRule="auto"/>
        <w:ind w:firstLine="770" w:firstLineChars="321"/>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日    期： 年 月 日</w:t>
      </w:r>
    </w:p>
    <w:p>
      <w:pPr>
        <w:spacing w:line="360" w:lineRule="auto"/>
        <w:rPr>
          <w:rFonts w:ascii="仿宋" w:hAnsi="仿宋" w:eastAsia="仿宋" w:cs="仿宋"/>
          <w:color w:val="auto"/>
          <w:sz w:val="44"/>
          <w:highlight w:val="none"/>
        </w:rPr>
      </w:pPr>
    </w:p>
    <w:p>
      <w:pPr>
        <w:spacing w:line="360" w:lineRule="auto"/>
        <w:jc w:val="center"/>
        <w:rPr>
          <w:rFonts w:hint="eastAsia" w:ascii="仿宋" w:hAnsi="仿宋" w:eastAsia="仿宋" w:cs="仿宋"/>
          <w:bCs/>
          <w:color w:val="auto"/>
          <w:sz w:val="32"/>
          <w:szCs w:val="32"/>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bCs/>
          <w:color w:val="auto"/>
          <w:sz w:val="32"/>
          <w:szCs w:val="32"/>
          <w:highlight w:val="none"/>
        </w:rPr>
        <w:t>目    录</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 参选函</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 法定代表人资格证明书</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 授权委托书</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 比选一览表</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 服务方案</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6、 参选单位基本情况</w:t>
      </w:r>
    </w:p>
    <w:p>
      <w:pPr>
        <w:pStyle w:val="2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7、 比选文件及评选办法要求提供的其它资料</w:t>
      </w:r>
    </w:p>
    <w:p>
      <w:pPr>
        <w:pStyle w:val="20"/>
        <w:spacing w:line="360" w:lineRule="auto"/>
        <w:rPr>
          <w:rFonts w:ascii="仿宋" w:hAnsi="仿宋" w:eastAsia="仿宋" w:cs="仿宋"/>
          <w:color w:val="auto"/>
          <w:sz w:val="28"/>
          <w:szCs w:val="28"/>
          <w:highlight w:val="none"/>
        </w:rPr>
      </w:pPr>
    </w:p>
    <w:p>
      <w:pPr>
        <w:pStyle w:val="20"/>
        <w:spacing w:line="360" w:lineRule="auto"/>
        <w:rPr>
          <w:rFonts w:ascii="仿宋" w:hAnsi="仿宋" w:eastAsia="仿宋" w:cs="仿宋"/>
          <w:color w:val="auto"/>
          <w:sz w:val="24"/>
          <w:highlight w:val="none"/>
        </w:rPr>
      </w:pPr>
    </w:p>
    <w:p>
      <w:pPr>
        <w:pStyle w:val="20"/>
        <w:spacing w:line="360" w:lineRule="auto"/>
        <w:rPr>
          <w:rFonts w:ascii="仿宋" w:hAnsi="仿宋" w:eastAsia="仿宋" w:cs="仿宋"/>
          <w:color w:val="auto"/>
          <w:sz w:val="24"/>
          <w:highlight w:val="none"/>
        </w:rPr>
      </w:pPr>
    </w:p>
    <w:p>
      <w:pPr>
        <w:pStyle w:val="20"/>
        <w:spacing w:line="360" w:lineRule="auto"/>
        <w:rPr>
          <w:rFonts w:ascii="仿宋" w:hAnsi="仿宋" w:eastAsia="仿宋" w:cs="仿宋"/>
          <w:color w:val="auto"/>
          <w:sz w:val="24"/>
          <w:highlight w:val="none"/>
        </w:rPr>
      </w:pPr>
    </w:p>
    <w:p>
      <w:pPr>
        <w:spacing w:line="360" w:lineRule="auto"/>
        <w:jc w:val="center"/>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br w:type="page"/>
      </w:r>
      <w:bookmarkStart w:id="40" w:name="_Toc344409275"/>
      <w:bookmarkStart w:id="41" w:name="_Toc346096034"/>
      <w:bookmarkStart w:id="42" w:name="_Toc470118706"/>
      <w:bookmarkStart w:id="43" w:name="_Toc323199448"/>
      <w:bookmarkStart w:id="44" w:name="_Toc344409071"/>
      <w:r>
        <w:rPr>
          <w:rFonts w:hint="eastAsia" w:ascii="仿宋" w:hAnsi="仿宋" w:eastAsia="仿宋" w:cs="仿宋"/>
          <w:color w:val="auto"/>
          <w:sz w:val="32"/>
          <w:szCs w:val="32"/>
          <w:highlight w:val="none"/>
        </w:rPr>
        <w:t>一、</w:t>
      </w:r>
      <w:bookmarkEnd w:id="40"/>
      <w:bookmarkEnd w:id="41"/>
      <w:bookmarkEnd w:id="42"/>
      <w:bookmarkEnd w:id="43"/>
      <w:bookmarkEnd w:id="44"/>
      <w:r>
        <w:rPr>
          <w:rFonts w:hint="eastAsia" w:ascii="仿宋" w:hAnsi="仿宋" w:eastAsia="仿宋" w:cs="仿宋"/>
          <w:color w:val="auto"/>
          <w:sz w:val="32"/>
          <w:szCs w:val="32"/>
          <w:highlight w:val="none"/>
        </w:rPr>
        <w:t>参选函</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highlight w:val="none"/>
          <w:u w:val="single"/>
        </w:rPr>
        <w:t xml:space="preserve">   比选人         </w:t>
      </w:r>
    </w:p>
    <w:p>
      <w:pPr>
        <w:numPr>
          <w:ilvl w:val="0"/>
          <w:numId w:val="2"/>
        </w:num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我方（比选申请人全称）收到并研究了贵单位的</w:t>
      </w:r>
      <w:r>
        <w:rPr>
          <w:rFonts w:hint="eastAsia" w:ascii="仿宋" w:hAnsi="仿宋" w:eastAsia="仿宋" w:cs="仿宋"/>
          <w:color w:val="auto"/>
          <w:highlight w:val="none"/>
          <w:u w:val="single"/>
        </w:rPr>
        <w:t xml:space="preserve">  （项目名称）  </w:t>
      </w:r>
      <w:r>
        <w:rPr>
          <w:rFonts w:hint="eastAsia" w:ascii="仿宋" w:hAnsi="仿宋" w:eastAsia="仿宋" w:cs="仿宋"/>
          <w:color w:val="auto"/>
          <w:highlight w:val="none"/>
        </w:rPr>
        <w:t>比选文件（比选编号：），对比选范围内的</w:t>
      </w:r>
      <w:r>
        <w:rPr>
          <w:rFonts w:hint="eastAsia" w:ascii="仿宋" w:hAnsi="仿宋" w:eastAsia="仿宋" w:cs="仿宋"/>
          <w:color w:val="auto"/>
          <w:szCs w:val="21"/>
          <w:highlight w:val="none"/>
        </w:rPr>
        <w:t>工作</w:t>
      </w:r>
      <w:r>
        <w:rPr>
          <w:rFonts w:hint="eastAsia" w:ascii="仿宋" w:hAnsi="仿宋" w:eastAsia="仿宋" w:cs="仿宋"/>
          <w:color w:val="auto"/>
          <w:highlight w:val="none"/>
        </w:rPr>
        <w:t xml:space="preserve">愿意按 </w:t>
      </w:r>
      <w:r>
        <w:rPr>
          <w:rFonts w:hint="eastAsia" w:ascii="仿宋" w:hAnsi="仿宋" w:eastAsia="仿宋" w:cs="仿宋"/>
          <w:color w:val="auto"/>
          <w:highlight w:val="none"/>
          <w:u w:val="single"/>
        </w:rPr>
        <w:t>《详见比选一览表》</w:t>
      </w:r>
      <w:r>
        <w:rPr>
          <w:rFonts w:hint="eastAsia" w:ascii="仿宋" w:hAnsi="仿宋" w:eastAsia="仿宋" w:cs="仿宋"/>
          <w:color w:val="auto"/>
          <w:highlight w:val="none"/>
        </w:rPr>
        <w:t>，并按照比选文件规定的内容承担该项目的技术服务任务，完全响应比选文件有关参选单位应承担责任和履行义务的条款。</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2、如果贵方接受我方的参选，我方保证根据合同规定完成全部技术服务任务。</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3、如果我方中选，我方保证按比选文件要求和比选人签订技术服务合同，</w:t>
      </w:r>
      <w:r>
        <w:rPr>
          <w:rFonts w:hint="eastAsia" w:ascii="仿宋" w:hAnsi="仿宋" w:eastAsia="仿宋" w:cs="仿宋"/>
          <w:color w:val="auto"/>
          <w:szCs w:val="30"/>
          <w:highlight w:val="none"/>
        </w:rPr>
        <w:t>承诺技术服务工作按进度要求，技术服务质量达到国家或行业规范标准要求，</w:t>
      </w:r>
      <w:r>
        <w:rPr>
          <w:rFonts w:hint="eastAsia" w:ascii="仿宋" w:hAnsi="仿宋" w:eastAsia="仿宋" w:cs="仿宋"/>
          <w:color w:val="auto"/>
          <w:highlight w:val="none"/>
        </w:rPr>
        <w:t>并对技术服务成果承担全部法律责任。</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4、在正式合同订立之前，本参选书同贵方的中选通知书、双方签订的补充和修正文件以及其它文件和附件成为约束双方的合同。</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5、我方同意所提交的参选文件在</w:t>
      </w:r>
      <w:r>
        <w:rPr>
          <w:rFonts w:hint="eastAsia" w:ascii="仿宋" w:hAnsi="仿宋" w:eastAsia="仿宋" w:cs="仿宋"/>
          <w:color w:val="auto"/>
          <w:highlight w:val="none"/>
          <w:u w:val="single"/>
        </w:rPr>
        <w:t xml:space="preserve"> 90 </w:t>
      </w:r>
      <w:r>
        <w:rPr>
          <w:rFonts w:hint="eastAsia" w:ascii="仿宋" w:hAnsi="仿宋" w:eastAsia="仿宋" w:cs="仿宋"/>
          <w:color w:val="auto"/>
          <w:highlight w:val="none"/>
        </w:rPr>
        <w:t>天的比选有效期内有效，在此期间内，如果中选，我方将受此约束。</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6、现递交我方参选文件正本份和副本份。</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7、我方同意负担直至委托合同签署时为此项参选所支付的一切费用。</w:t>
      </w:r>
    </w:p>
    <w:p>
      <w:pPr>
        <w:spacing w:line="360" w:lineRule="auto"/>
        <w:rPr>
          <w:rFonts w:ascii="仿宋" w:hAnsi="仿宋" w:eastAsia="仿宋" w:cs="仿宋"/>
          <w:color w:val="auto"/>
          <w:highlight w:val="none"/>
        </w:rPr>
      </w:pPr>
    </w:p>
    <w:p>
      <w:pPr>
        <w:pStyle w:val="29"/>
        <w:widowControl w:val="0"/>
        <w:spacing w:before="0" w:after="0"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比选申请人：</w:t>
      </w:r>
      <w:r>
        <w:rPr>
          <w:rFonts w:hint="eastAsia" w:ascii="仿宋" w:hAnsi="仿宋" w:eastAsia="仿宋" w:cs="仿宋"/>
          <w:color w:val="auto"/>
          <w:sz w:val="21"/>
          <w:szCs w:val="21"/>
          <w:highlight w:val="none"/>
          <w:u w:val="single"/>
        </w:rPr>
        <w:t>（盖比选申请人单位公章）</w:t>
      </w:r>
    </w:p>
    <w:p>
      <w:pPr>
        <w:pStyle w:val="29"/>
        <w:widowControl w:val="0"/>
        <w:spacing w:before="0" w:after="0"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法定代表人或委托代理人：</w:t>
      </w:r>
      <w:r>
        <w:rPr>
          <w:rFonts w:hint="eastAsia" w:ascii="仿宋" w:hAnsi="仿宋" w:eastAsia="仿宋" w:cs="仿宋"/>
          <w:color w:val="auto"/>
          <w:sz w:val="21"/>
          <w:szCs w:val="21"/>
          <w:highlight w:val="none"/>
          <w:u w:val="single"/>
        </w:rPr>
        <w:t>（签字或盖章）</w:t>
      </w:r>
    </w:p>
    <w:p>
      <w:pPr>
        <w:pStyle w:val="29"/>
        <w:widowControl w:val="0"/>
        <w:spacing w:before="0" w:after="0" w:line="360" w:lineRule="auto"/>
        <w:ind w:firstLine="4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地    址：    </w:t>
      </w:r>
    </w:p>
    <w:p>
      <w:pPr>
        <w:pStyle w:val="29"/>
        <w:widowControl w:val="0"/>
        <w:spacing w:before="0" w:after="0"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pStyle w:val="29"/>
        <w:widowControl w:val="0"/>
        <w:spacing w:before="0" w:after="0" w:line="360" w:lineRule="auto"/>
        <w:ind w:firstLine="4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联 系 人：</w:t>
      </w:r>
    </w:p>
    <w:p>
      <w:pPr>
        <w:pStyle w:val="29"/>
        <w:widowControl w:val="0"/>
        <w:spacing w:before="0" w:after="0" w:line="360" w:lineRule="auto"/>
        <w:ind w:firstLine="4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电    话：</w:t>
      </w:r>
    </w:p>
    <w:p>
      <w:pPr>
        <w:pStyle w:val="29"/>
        <w:widowControl w:val="0"/>
        <w:spacing w:before="0" w:after="0" w:line="36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传    真：</w:t>
      </w:r>
    </w:p>
    <w:p>
      <w:pPr>
        <w:pStyle w:val="29"/>
        <w:widowControl w:val="0"/>
        <w:spacing w:before="0" w:after="0" w:line="360" w:lineRule="auto"/>
        <w:ind w:firstLine="420"/>
        <w:jc w:val="right"/>
        <w:rPr>
          <w:rFonts w:ascii="仿宋" w:hAnsi="仿宋" w:eastAsia="仿宋" w:cs="仿宋"/>
          <w:b/>
          <w:color w:val="auto"/>
          <w:sz w:val="30"/>
          <w:szCs w:val="30"/>
          <w:highlight w:val="none"/>
        </w:rPr>
      </w:pPr>
      <w:r>
        <w:rPr>
          <w:rFonts w:hint="eastAsia" w:ascii="仿宋" w:hAnsi="仿宋" w:eastAsia="仿宋" w:cs="仿宋"/>
          <w:color w:val="auto"/>
          <w:sz w:val="21"/>
          <w:szCs w:val="21"/>
          <w:highlight w:val="none"/>
        </w:rPr>
        <w:t xml:space="preserve">                                      日    期：</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rPr>
        <w:t>日</w:t>
      </w:r>
      <w:bookmarkStart w:id="45" w:name="_Toc344409276"/>
      <w:bookmarkStart w:id="46" w:name="_Toc344409072"/>
      <w:bookmarkStart w:id="47" w:name="_Toc323199449"/>
      <w:bookmarkStart w:id="48" w:name="_Toc346096035"/>
    </w:p>
    <w:p>
      <w:pPr>
        <w:spacing w:line="360" w:lineRule="auto"/>
        <w:jc w:val="center"/>
        <w:rPr>
          <w:rFonts w:ascii="仿宋" w:hAnsi="仿宋" w:eastAsia="仿宋" w:cs="仿宋"/>
          <w:color w:val="auto"/>
          <w:highlight w:val="none"/>
        </w:rPr>
      </w:pPr>
      <w:bookmarkStart w:id="49" w:name="_Toc470118707"/>
      <w:r>
        <w:rPr>
          <w:rFonts w:hint="eastAsia" w:ascii="仿宋" w:hAnsi="仿宋" w:eastAsia="仿宋" w:cs="仿宋"/>
          <w:b/>
          <w:color w:val="auto"/>
          <w:sz w:val="30"/>
          <w:szCs w:val="30"/>
          <w:highlight w:val="none"/>
        </w:rPr>
        <w:br w:type="page"/>
      </w:r>
      <w:r>
        <w:rPr>
          <w:rFonts w:hint="eastAsia" w:ascii="仿宋" w:hAnsi="仿宋" w:eastAsia="仿宋" w:cs="仿宋"/>
          <w:color w:val="auto"/>
          <w:sz w:val="32"/>
          <w:szCs w:val="32"/>
          <w:highlight w:val="none"/>
        </w:rPr>
        <w:t>二、</w:t>
      </w:r>
      <w:bookmarkEnd w:id="45"/>
      <w:bookmarkEnd w:id="46"/>
      <w:bookmarkEnd w:id="47"/>
      <w:bookmarkEnd w:id="48"/>
      <w:r>
        <w:rPr>
          <w:rFonts w:hint="eastAsia" w:ascii="仿宋" w:hAnsi="仿宋" w:eastAsia="仿宋" w:cs="仿宋"/>
          <w:color w:val="auto"/>
          <w:sz w:val="32"/>
          <w:szCs w:val="32"/>
          <w:highlight w:val="none"/>
        </w:rPr>
        <w:t>法定代表人身份证明</w:t>
      </w:r>
      <w:bookmarkEnd w:id="49"/>
    </w:p>
    <w:p>
      <w:pPr>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比选申请人名称：</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单位性质：</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地址：</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成立时间：</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年</w:t>
      </w:r>
      <w:r>
        <w:rPr>
          <w:rFonts w:hint="eastAsia" w:ascii="仿宋" w:hAnsi="仿宋" w:eastAsia="仿宋" w:cs="仿宋"/>
          <w:i w:val="0"/>
          <w:iCs w:val="0"/>
          <w:color w:val="auto"/>
          <w:highlight w:val="none"/>
          <w:u w:val="single"/>
          <w:lang w:val="en-US" w:eastAsia="zh-CN"/>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日</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经营期限：</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姓名：</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性别：</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年龄：</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职务：</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系（比选申请人名称）的法定代表人。</w:t>
      </w: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特此证明。</w:t>
      </w:r>
    </w:p>
    <w:p>
      <w:pPr>
        <w:spacing w:line="360" w:lineRule="auto"/>
        <w:rPr>
          <w:rFonts w:ascii="仿宋" w:hAnsi="仿宋" w:eastAsia="仿宋" w:cs="仿宋"/>
          <w:color w:val="auto"/>
          <w:highlight w:val="none"/>
        </w:rPr>
      </w:pPr>
    </w:p>
    <w:p>
      <w:pPr>
        <w:spacing w:line="360" w:lineRule="auto"/>
        <w:jc w:val="right"/>
        <w:rPr>
          <w:rFonts w:ascii="仿宋" w:hAnsi="仿宋" w:eastAsia="仿宋" w:cs="仿宋"/>
          <w:color w:val="auto"/>
          <w:highlight w:val="none"/>
        </w:rPr>
      </w:pPr>
      <w:r>
        <w:rPr>
          <w:rFonts w:hint="eastAsia" w:ascii="仿宋" w:hAnsi="仿宋" w:eastAsia="仿宋" w:cs="仿宋"/>
          <w:color w:val="auto"/>
          <w:highlight w:val="none"/>
        </w:rPr>
        <w:t>比选申请人：</w:t>
      </w:r>
      <w:r>
        <w:rPr>
          <w:rFonts w:hint="eastAsia" w:ascii="仿宋" w:hAnsi="仿宋" w:eastAsia="仿宋" w:cs="仿宋"/>
          <w:color w:val="auto"/>
          <w:highlight w:val="none"/>
          <w:u w:val="single"/>
        </w:rPr>
        <w:t xml:space="preserve">     （全称）      </w:t>
      </w:r>
      <w:r>
        <w:rPr>
          <w:rFonts w:hint="eastAsia" w:ascii="仿宋" w:hAnsi="仿宋" w:eastAsia="仿宋" w:cs="仿宋"/>
          <w:color w:val="auto"/>
          <w:highlight w:val="none"/>
        </w:rPr>
        <w:t>（盖比选申请人单位公章）</w:t>
      </w:r>
    </w:p>
    <w:p>
      <w:pPr>
        <w:spacing w:line="360" w:lineRule="auto"/>
        <w:jc w:val="right"/>
        <w:rPr>
          <w:rFonts w:ascii="仿宋" w:hAnsi="仿宋" w:eastAsia="仿宋" w:cs="仿宋"/>
          <w:color w:val="auto"/>
          <w:szCs w:val="28"/>
          <w:highlight w:val="none"/>
          <w:u w:val="single"/>
        </w:rPr>
      </w:pPr>
    </w:p>
    <w:p>
      <w:pPr>
        <w:spacing w:line="360" w:lineRule="auto"/>
        <w:jc w:val="right"/>
        <w:rPr>
          <w:rFonts w:ascii="仿宋" w:hAnsi="仿宋" w:eastAsia="仿宋" w:cs="仿宋"/>
          <w:color w:val="auto"/>
          <w:szCs w:val="28"/>
          <w:highlight w:val="none"/>
        </w:rPr>
      </w:pP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日</w:t>
      </w:r>
    </w:p>
    <w:p>
      <w:pPr>
        <w:spacing w:line="360" w:lineRule="auto"/>
        <w:rPr>
          <w:rFonts w:ascii="仿宋" w:hAnsi="仿宋" w:eastAsia="仿宋" w:cs="仿宋"/>
          <w:color w:val="auto"/>
          <w:sz w:val="24"/>
          <w:highlight w:val="none"/>
        </w:rPr>
      </w:pPr>
      <w:bookmarkStart w:id="50" w:name="_Toc344409073"/>
      <w:bookmarkStart w:id="51" w:name="_Toc323199450"/>
      <w:bookmarkStart w:id="52" w:name="_Toc346096036"/>
      <w:bookmarkStart w:id="53" w:name="_Toc344409277"/>
      <w:r>
        <w:rPr>
          <w:rFonts w:hint="eastAsia" w:ascii="仿宋" w:hAnsi="仿宋" w:eastAsia="仿宋" w:cs="仿宋"/>
          <w:color w:val="auto"/>
          <w:sz w:val="24"/>
          <w:highlight w:val="none"/>
        </w:rPr>
        <w:t>附法定代表人身份证复印件</w:t>
      </w:r>
    </w:p>
    <w:p>
      <w:pPr>
        <w:spacing w:line="360" w:lineRule="auto"/>
        <w:rPr>
          <w:rFonts w:ascii="仿宋" w:hAnsi="仿宋" w:eastAsia="仿宋" w:cs="仿宋"/>
          <w:b/>
          <w:bCs/>
          <w:color w:val="auto"/>
          <w:sz w:val="24"/>
          <w:highlight w:val="none"/>
        </w:rPr>
      </w:pPr>
    </w:p>
    <w:p>
      <w:pPr>
        <w:spacing w:line="360" w:lineRule="auto"/>
        <w:rPr>
          <w:rFonts w:ascii="仿宋" w:hAnsi="仿宋" w:eastAsia="仿宋" w:cs="仿宋"/>
          <w:b/>
          <w:bCs/>
          <w:color w:val="auto"/>
          <w:sz w:val="24"/>
          <w:highlight w:val="none"/>
        </w:rPr>
      </w:pPr>
    </w:p>
    <w:p>
      <w:pPr>
        <w:spacing w:line="360" w:lineRule="auto"/>
        <w:rPr>
          <w:rFonts w:ascii="仿宋" w:hAnsi="仿宋" w:eastAsia="仿宋" w:cs="仿宋"/>
          <w:b/>
          <w:bCs/>
          <w:color w:val="auto"/>
          <w:sz w:val="24"/>
          <w:highlight w:val="none"/>
        </w:rPr>
      </w:pPr>
    </w:p>
    <w:p>
      <w:pPr>
        <w:spacing w:line="360" w:lineRule="auto"/>
        <w:rPr>
          <w:rFonts w:ascii="仿宋" w:hAnsi="仿宋" w:eastAsia="仿宋" w:cs="仿宋"/>
          <w:b/>
          <w:bCs/>
          <w:color w:val="auto"/>
          <w:sz w:val="24"/>
          <w:highlight w:val="none"/>
        </w:rPr>
      </w:pPr>
    </w:p>
    <w:p>
      <w:pPr>
        <w:spacing w:line="360" w:lineRule="auto"/>
        <w:rPr>
          <w:rFonts w:ascii="仿宋" w:hAnsi="仿宋" w:eastAsia="仿宋" w:cs="仿宋"/>
          <w:b/>
          <w:bCs/>
          <w:color w:val="auto"/>
          <w:sz w:val="24"/>
          <w:highlight w:val="none"/>
        </w:rPr>
      </w:pPr>
    </w:p>
    <w:p>
      <w:pPr>
        <w:rPr>
          <w:rFonts w:ascii="仿宋" w:hAnsi="仿宋" w:eastAsia="仿宋" w:cs="仿宋"/>
          <w:b/>
          <w:color w:val="auto"/>
          <w:highlight w:val="none"/>
        </w:rPr>
      </w:pPr>
      <w:r>
        <w:rPr>
          <w:rFonts w:hint="eastAsia" w:ascii="仿宋" w:hAnsi="仿宋" w:eastAsia="仿宋" w:cs="仿宋"/>
          <w:b/>
          <w:color w:val="auto"/>
          <w:w w:val="95"/>
          <w:highlight w:val="none"/>
        </w:rPr>
        <w:t>注：另外单独携带一份原件至比选现场，用于身份验证。</w:t>
      </w:r>
    </w:p>
    <w:p>
      <w:pPr>
        <w:spacing w:line="360" w:lineRule="auto"/>
        <w:rPr>
          <w:rFonts w:ascii="仿宋" w:hAnsi="仿宋" w:eastAsia="仿宋" w:cs="仿宋"/>
          <w:b/>
          <w:bCs/>
          <w:color w:val="auto"/>
          <w:szCs w:val="21"/>
          <w:highlight w:val="none"/>
        </w:rPr>
      </w:pPr>
    </w:p>
    <w:bookmarkEnd w:id="50"/>
    <w:bookmarkEnd w:id="51"/>
    <w:bookmarkEnd w:id="52"/>
    <w:bookmarkEnd w:id="53"/>
    <w:p>
      <w:pPr>
        <w:spacing w:line="360" w:lineRule="auto"/>
        <w:jc w:val="center"/>
        <w:rPr>
          <w:rFonts w:ascii="仿宋" w:hAnsi="仿宋" w:eastAsia="仿宋" w:cs="仿宋"/>
          <w:b/>
          <w:color w:val="auto"/>
          <w:kern w:val="0"/>
          <w:sz w:val="32"/>
          <w:szCs w:val="20"/>
          <w:highlight w:val="none"/>
        </w:rPr>
      </w:pPr>
      <w:bookmarkStart w:id="54" w:name="_Toc251955548"/>
      <w:r>
        <w:rPr>
          <w:rFonts w:hint="eastAsia" w:ascii="仿宋" w:hAnsi="仿宋" w:eastAsia="仿宋" w:cs="仿宋"/>
          <w:b/>
          <w:color w:val="auto"/>
          <w:kern w:val="0"/>
          <w:sz w:val="32"/>
          <w:szCs w:val="20"/>
          <w:highlight w:val="none"/>
        </w:rPr>
        <w:br w:type="page"/>
      </w:r>
      <w:r>
        <w:rPr>
          <w:rFonts w:hint="eastAsia" w:ascii="仿宋" w:hAnsi="仿宋" w:eastAsia="仿宋" w:cs="仿宋"/>
          <w:b/>
          <w:color w:val="auto"/>
          <w:kern w:val="0"/>
          <w:sz w:val="32"/>
          <w:szCs w:val="20"/>
          <w:highlight w:val="none"/>
        </w:rPr>
        <w:t>三、</w:t>
      </w:r>
      <w:r>
        <w:rPr>
          <w:rFonts w:hint="eastAsia" w:ascii="仿宋" w:hAnsi="仿宋" w:eastAsia="仿宋" w:cs="仿宋"/>
          <w:color w:val="auto"/>
          <w:sz w:val="32"/>
          <w:szCs w:val="32"/>
          <w:highlight w:val="none"/>
        </w:rPr>
        <w:t>授权委托书</w:t>
      </w:r>
    </w:p>
    <w:p>
      <w:pPr>
        <w:spacing w:line="360" w:lineRule="auto"/>
        <w:rPr>
          <w:rFonts w:ascii="仿宋" w:hAnsi="仿宋" w:eastAsia="仿宋" w:cs="仿宋"/>
          <w:b/>
          <w:color w:val="auto"/>
          <w:kern w:val="0"/>
          <w:sz w:val="32"/>
          <w:szCs w:val="20"/>
          <w:highlight w:val="none"/>
        </w:rPr>
      </w:pP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本人（姓名）系（比选申请人名称）的法定代表人，现委托（姓名）为我方代理人。代理人根据授权，以我方名义签署、澄清、说明、补正、递交、撤回、修改参选文件、签订合同和处理有关事宜，其法律后果由我方承担。</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委托期限：。</w:t>
      </w:r>
    </w:p>
    <w:p>
      <w:pPr>
        <w:spacing w:line="360" w:lineRule="auto"/>
        <w:ind w:firstLine="420" w:firstLineChars="200"/>
        <w:rPr>
          <w:rFonts w:ascii="仿宋" w:hAnsi="仿宋" w:eastAsia="仿宋" w:cs="仿宋"/>
          <w:color w:val="auto"/>
          <w:highlight w:val="none"/>
        </w:rPr>
      </w:pPr>
      <w:r>
        <w:rPr>
          <w:rFonts w:hint="eastAsia" w:ascii="仿宋" w:hAnsi="仿宋" w:eastAsia="仿宋" w:cs="仿宋"/>
          <w:color w:val="auto"/>
          <w:highlight w:val="none"/>
        </w:rPr>
        <w:t>代理人无转委托权。</w:t>
      </w:r>
    </w:p>
    <w:p>
      <w:pPr>
        <w:spacing w:line="360" w:lineRule="auto"/>
        <w:rPr>
          <w:rFonts w:ascii="仿宋" w:hAnsi="仿宋" w:eastAsia="仿宋" w:cs="仿宋"/>
          <w:color w:val="auto"/>
          <w:highlight w:val="none"/>
        </w:rPr>
      </w:pPr>
    </w:p>
    <w:p>
      <w:pPr>
        <w:spacing w:line="360" w:lineRule="auto"/>
        <w:ind w:firstLine="2595" w:firstLineChars="1236"/>
        <w:rPr>
          <w:rFonts w:ascii="仿宋" w:hAnsi="仿宋" w:eastAsia="仿宋" w:cs="仿宋"/>
          <w:color w:val="auto"/>
          <w:highlight w:val="none"/>
        </w:rPr>
      </w:pPr>
      <w:r>
        <w:rPr>
          <w:rFonts w:hint="eastAsia" w:ascii="仿宋" w:hAnsi="仿宋" w:eastAsia="仿宋" w:cs="仿宋"/>
          <w:color w:val="auto"/>
          <w:highlight w:val="none"/>
        </w:rPr>
        <w:t>参  选  人：</w:t>
      </w:r>
      <w:r>
        <w:rPr>
          <w:rFonts w:hint="eastAsia" w:ascii="仿宋" w:hAnsi="仿宋" w:eastAsia="仿宋" w:cs="仿宋"/>
          <w:color w:val="auto"/>
          <w:highlight w:val="none"/>
          <w:u w:val="single"/>
        </w:rPr>
        <w:t xml:space="preserve">         （全称）       </w:t>
      </w:r>
      <w:r>
        <w:rPr>
          <w:rFonts w:hint="eastAsia" w:ascii="仿宋" w:hAnsi="仿宋" w:eastAsia="仿宋" w:cs="仿宋"/>
          <w:color w:val="auto"/>
          <w:highlight w:val="none"/>
        </w:rPr>
        <w:t>（盖比选申请人单位公章）</w:t>
      </w:r>
    </w:p>
    <w:p>
      <w:pPr>
        <w:spacing w:line="360" w:lineRule="auto"/>
        <w:ind w:firstLine="2595" w:firstLineChars="1236"/>
        <w:rPr>
          <w:rFonts w:ascii="仿宋" w:hAnsi="仿宋" w:eastAsia="仿宋" w:cs="仿宋"/>
          <w:color w:val="auto"/>
          <w:highlight w:val="none"/>
        </w:rPr>
      </w:pPr>
      <w:r>
        <w:rPr>
          <w:rFonts w:hint="eastAsia" w:ascii="仿宋" w:hAnsi="仿宋" w:eastAsia="仿宋" w:cs="仿宋"/>
          <w:color w:val="auto"/>
          <w:highlight w:val="none"/>
        </w:rPr>
        <w:t>法定代表人：（签字或盖章）</w:t>
      </w:r>
    </w:p>
    <w:p>
      <w:pPr>
        <w:spacing w:line="360" w:lineRule="auto"/>
        <w:ind w:firstLine="2595" w:firstLineChars="1236"/>
        <w:rPr>
          <w:rFonts w:ascii="仿宋" w:hAnsi="仿宋" w:eastAsia="仿宋" w:cs="仿宋"/>
          <w:color w:val="auto"/>
          <w:highlight w:val="none"/>
        </w:rPr>
      </w:pPr>
      <w:r>
        <w:rPr>
          <w:rFonts w:hint="eastAsia" w:ascii="仿宋" w:hAnsi="仿宋" w:eastAsia="仿宋" w:cs="仿宋"/>
          <w:color w:val="auto"/>
          <w:highlight w:val="none"/>
        </w:rPr>
        <w:t>身份证号码：</w:t>
      </w:r>
    </w:p>
    <w:p>
      <w:pPr>
        <w:spacing w:line="360" w:lineRule="auto"/>
        <w:ind w:firstLine="2595" w:firstLineChars="1236"/>
        <w:rPr>
          <w:rFonts w:ascii="仿宋" w:hAnsi="仿宋" w:eastAsia="仿宋" w:cs="仿宋"/>
          <w:color w:val="auto"/>
          <w:highlight w:val="none"/>
        </w:rPr>
      </w:pPr>
      <w:r>
        <w:rPr>
          <w:rFonts w:hint="eastAsia" w:ascii="仿宋" w:hAnsi="仿宋" w:eastAsia="仿宋" w:cs="仿宋"/>
          <w:color w:val="auto"/>
          <w:highlight w:val="none"/>
        </w:rPr>
        <w:t>委托代理人：（签字或盖章）</w:t>
      </w:r>
    </w:p>
    <w:p>
      <w:pPr>
        <w:spacing w:line="360" w:lineRule="auto"/>
        <w:ind w:firstLine="2595" w:firstLineChars="1236"/>
        <w:rPr>
          <w:rFonts w:ascii="仿宋" w:hAnsi="仿宋" w:eastAsia="仿宋" w:cs="仿宋"/>
          <w:color w:val="auto"/>
          <w:highlight w:val="none"/>
          <w:u w:val="single"/>
        </w:rPr>
      </w:pPr>
      <w:r>
        <w:rPr>
          <w:rFonts w:hint="eastAsia" w:ascii="仿宋" w:hAnsi="仿宋" w:eastAsia="仿宋" w:cs="仿宋"/>
          <w:color w:val="auto"/>
          <w:highlight w:val="none"/>
        </w:rPr>
        <w:t>身份证号码：</w:t>
      </w:r>
    </w:p>
    <w:p>
      <w:pPr>
        <w:spacing w:line="360" w:lineRule="auto"/>
        <w:ind w:firstLine="420" w:firstLineChars="200"/>
        <w:jc w:val="right"/>
        <w:rPr>
          <w:rFonts w:ascii="仿宋" w:hAnsi="仿宋" w:eastAsia="仿宋" w:cs="仿宋"/>
          <w:color w:val="auto"/>
          <w:szCs w:val="28"/>
          <w:highlight w:val="none"/>
        </w:rPr>
      </w:pP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年</w:t>
      </w: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u w:val="single"/>
          <w:lang w:val="en-US" w:eastAsia="zh-CN"/>
        </w:rPr>
        <w:t xml:space="preserve">    </w:t>
      </w:r>
      <w:r>
        <w:rPr>
          <w:rFonts w:hint="eastAsia" w:ascii="仿宋" w:hAnsi="仿宋" w:eastAsia="仿宋" w:cs="仿宋"/>
          <w:color w:val="auto"/>
          <w:szCs w:val="28"/>
          <w:highlight w:val="none"/>
        </w:rPr>
        <w:t>日</w:t>
      </w:r>
    </w:p>
    <w:p>
      <w:pPr>
        <w:spacing w:line="360" w:lineRule="auto"/>
        <w:ind w:firstLine="420" w:firstLineChars="200"/>
        <w:jc w:val="right"/>
        <w:rPr>
          <w:rFonts w:ascii="仿宋" w:hAnsi="仿宋" w:eastAsia="仿宋" w:cs="仿宋"/>
          <w:color w:val="auto"/>
          <w:szCs w:val="28"/>
          <w:highlight w:val="none"/>
        </w:rPr>
      </w:pPr>
    </w:p>
    <w:tbl>
      <w:tblPr>
        <w:tblStyle w:val="33"/>
        <w:tblW w:w="808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53"/>
        <w:gridCol w:w="382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53" w:type="dxa"/>
            <w:vAlign w:val="center"/>
          </w:tcPr>
          <w:p>
            <w:pPr>
              <w:snapToGrid w:val="0"/>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法定代表人身份证复印件</w:t>
            </w:r>
          </w:p>
        </w:tc>
        <w:tc>
          <w:tcPr>
            <w:tcW w:w="3827" w:type="dxa"/>
            <w:vAlign w:val="center"/>
          </w:tcPr>
          <w:p>
            <w:pPr>
              <w:snapToGrid w:val="0"/>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授权委托代理人身份证复印件</w:t>
            </w:r>
          </w:p>
        </w:tc>
      </w:tr>
    </w:tbl>
    <w:p>
      <w:pPr>
        <w:spacing w:line="360" w:lineRule="auto"/>
        <w:ind w:firstLine="240" w:firstLineChars="100"/>
        <w:rPr>
          <w:rFonts w:ascii="仿宋" w:hAnsi="仿宋" w:eastAsia="仿宋" w:cs="仿宋"/>
          <w:b/>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Cs w:val="21"/>
          <w:highlight w:val="none"/>
        </w:rPr>
      </w:pPr>
    </w:p>
    <w:bookmarkEnd w:id="54"/>
    <w:p>
      <w:pPr>
        <w:spacing w:line="360" w:lineRule="auto"/>
        <w:jc w:val="center"/>
        <w:rPr>
          <w:rFonts w:ascii="仿宋" w:hAnsi="仿宋" w:eastAsia="仿宋" w:cs="仿宋"/>
          <w:b/>
          <w:color w:val="auto"/>
          <w:kern w:val="0"/>
          <w:sz w:val="30"/>
          <w:szCs w:val="30"/>
          <w:highlight w:val="none"/>
        </w:rPr>
      </w:pPr>
      <w:bookmarkStart w:id="55" w:name="_Toc346096038"/>
      <w:bookmarkStart w:id="56" w:name="_Toc344409279"/>
      <w:bookmarkStart w:id="57" w:name="_Toc323199452"/>
      <w:bookmarkStart w:id="58" w:name="_Toc470118709"/>
      <w:bookmarkStart w:id="59" w:name="_Toc344409075"/>
      <w:r>
        <w:rPr>
          <w:rFonts w:hint="eastAsia" w:ascii="仿宋" w:hAnsi="仿宋" w:eastAsia="仿宋" w:cs="仿宋"/>
          <w:b/>
          <w:bCs/>
          <w:color w:val="auto"/>
          <w:highlight w:val="none"/>
        </w:rPr>
        <w:t xml:space="preserve">  注：另外单独携带一份原件至比选现场，用于身份验证。</w:t>
      </w:r>
      <w:r>
        <w:rPr>
          <w:rFonts w:hint="eastAsia" w:ascii="仿宋" w:hAnsi="仿宋" w:eastAsia="仿宋" w:cs="仿宋"/>
          <w:color w:val="auto"/>
          <w:highlight w:val="none"/>
        </w:rPr>
        <w:br w:type="page"/>
      </w:r>
      <w:r>
        <w:rPr>
          <w:rFonts w:hint="eastAsia" w:ascii="仿宋" w:hAnsi="仿宋" w:eastAsia="仿宋" w:cs="仿宋"/>
          <w:color w:val="auto"/>
          <w:sz w:val="32"/>
          <w:szCs w:val="32"/>
          <w:highlight w:val="none"/>
        </w:rPr>
        <w:t>四、比选一览表（格式）</w:t>
      </w:r>
      <w:bookmarkEnd w:id="55"/>
      <w:bookmarkEnd w:id="56"/>
      <w:bookmarkEnd w:id="57"/>
      <w:bookmarkEnd w:id="58"/>
      <w:bookmarkEnd w:id="59"/>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sq-AL"/>
        </w:rPr>
        <w:t>比选申请人名称：                          金额单位：人民币元（保留两位小数）</w:t>
      </w:r>
    </w:p>
    <w:tbl>
      <w:tblPr>
        <w:tblStyle w:val="33"/>
        <w:tblW w:w="92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298"/>
        <w:gridCol w:w="2438"/>
        <w:gridCol w:w="1597"/>
        <w:gridCol w:w="2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20"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2298"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lang w:val="sq-AL"/>
              </w:rPr>
              <w:t>项目名称</w:t>
            </w:r>
          </w:p>
        </w:tc>
        <w:tc>
          <w:tcPr>
            <w:tcW w:w="6218" w:type="dxa"/>
            <w:gridSpan w:val="3"/>
            <w:vAlign w:val="center"/>
          </w:tcPr>
          <w:p>
            <w:pPr>
              <w:spacing w:line="360" w:lineRule="auto"/>
              <w:jc w:val="center"/>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atLeast"/>
          <w:jc w:val="center"/>
        </w:trPr>
        <w:tc>
          <w:tcPr>
            <w:tcW w:w="720"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298"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参选报价</w:t>
            </w:r>
          </w:p>
        </w:tc>
        <w:tc>
          <w:tcPr>
            <w:tcW w:w="6218" w:type="dxa"/>
            <w:gridSpan w:val="3"/>
            <w:tcBorders>
              <w:top w:val="single" w:color="auto" w:sz="4" w:space="0"/>
            </w:tcBorders>
            <w:vAlign w:val="center"/>
          </w:tcPr>
          <w:p>
            <w:pPr>
              <w:spacing w:line="360" w:lineRule="auto"/>
              <w:ind w:firstLine="1050" w:firstLineChars="500"/>
              <w:jc w:val="center"/>
              <w:rPr>
                <w:rFonts w:ascii="仿宋" w:hAnsi="仿宋" w:eastAsia="仿宋" w:cs="仿宋"/>
                <w:color w:val="auto"/>
                <w:szCs w:val="21"/>
                <w:highlight w:val="none"/>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720"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2298"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完成期限</w:t>
            </w:r>
          </w:p>
        </w:tc>
        <w:tc>
          <w:tcPr>
            <w:tcW w:w="6218" w:type="dxa"/>
            <w:gridSpan w:val="3"/>
          </w:tcPr>
          <w:p>
            <w:pPr>
              <w:spacing w:line="360" w:lineRule="auto"/>
              <w:ind w:firstLine="1442" w:firstLineChars="687"/>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720"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2298" w:type="dxa"/>
            <w:vAlign w:val="center"/>
          </w:tcPr>
          <w:p>
            <w:pPr>
              <w:tabs>
                <w:tab w:val="right" w:pos="2974"/>
              </w:tabs>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项目负责人姓名</w:t>
            </w:r>
          </w:p>
        </w:tc>
        <w:tc>
          <w:tcPr>
            <w:tcW w:w="2438" w:type="dxa"/>
          </w:tcPr>
          <w:p>
            <w:pPr>
              <w:spacing w:line="360" w:lineRule="auto"/>
              <w:rPr>
                <w:rFonts w:ascii="仿宋" w:hAnsi="仿宋" w:eastAsia="仿宋" w:cs="仿宋"/>
                <w:color w:val="auto"/>
                <w:szCs w:val="21"/>
                <w:highlight w:val="none"/>
              </w:rPr>
            </w:pPr>
          </w:p>
        </w:tc>
        <w:tc>
          <w:tcPr>
            <w:tcW w:w="1597" w:type="dxa"/>
            <w:vAlign w:val="center"/>
          </w:tcPr>
          <w:p>
            <w:pPr>
              <w:spacing w:line="360" w:lineRule="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职 称</w:t>
            </w:r>
          </w:p>
        </w:tc>
        <w:tc>
          <w:tcPr>
            <w:tcW w:w="2183" w:type="dxa"/>
          </w:tcPr>
          <w:p>
            <w:pPr>
              <w:spacing w:line="360" w:lineRule="auto"/>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atLeast"/>
          <w:jc w:val="center"/>
        </w:trPr>
        <w:tc>
          <w:tcPr>
            <w:tcW w:w="720"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298" w:type="dxa"/>
            <w:vAlign w:val="center"/>
          </w:tcPr>
          <w:p>
            <w:pPr>
              <w:tabs>
                <w:tab w:val="right" w:pos="2974"/>
              </w:tabs>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备注</w:t>
            </w:r>
          </w:p>
        </w:tc>
        <w:tc>
          <w:tcPr>
            <w:tcW w:w="6218" w:type="dxa"/>
            <w:gridSpan w:val="3"/>
          </w:tcPr>
          <w:p>
            <w:pPr>
              <w:spacing w:line="360" w:lineRule="auto"/>
              <w:rPr>
                <w:rFonts w:ascii="仿宋" w:hAnsi="仿宋" w:eastAsia="仿宋" w:cs="仿宋"/>
                <w:color w:val="auto"/>
                <w:szCs w:val="21"/>
                <w:highlight w:val="none"/>
              </w:rPr>
            </w:pPr>
          </w:p>
        </w:tc>
      </w:tr>
    </w:tbl>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比选申请人：（盖单位章）</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法定代表人或授权代理人：（签字或盖章）</w:t>
      </w:r>
    </w:p>
    <w:p>
      <w:pPr>
        <w:spacing w:line="360" w:lineRule="auto"/>
        <w:rPr>
          <w:rFonts w:ascii="仿宋" w:hAnsi="仿宋" w:eastAsia="仿宋" w:cs="仿宋"/>
          <w:color w:val="auto"/>
          <w:sz w:val="24"/>
          <w:highlight w:val="none"/>
        </w:rPr>
      </w:pPr>
    </w:p>
    <w:p>
      <w:pPr>
        <w:spacing w:line="360" w:lineRule="auto"/>
        <w:jc w:val="right"/>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rPr>
          <w:rFonts w:ascii="仿宋" w:hAnsi="仿宋" w:eastAsia="仿宋" w:cs="仿宋"/>
          <w:color w:val="auto"/>
          <w:sz w:val="10"/>
          <w:szCs w:val="10"/>
          <w:highlight w:val="none"/>
        </w:rPr>
      </w:pPr>
    </w:p>
    <w:p>
      <w:pPr>
        <w:spacing w:line="360" w:lineRule="auto"/>
        <w:jc w:val="center"/>
        <w:rPr>
          <w:rFonts w:ascii="仿宋" w:hAnsi="仿宋" w:eastAsia="仿宋" w:cs="仿宋"/>
          <w:color w:val="auto"/>
          <w:sz w:val="24"/>
          <w:highlight w:val="none"/>
        </w:rPr>
      </w:pPr>
      <w:bookmarkStart w:id="60" w:name="_Toc346096039"/>
      <w:bookmarkStart w:id="61" w:name="_Toc318464893"/>
      <w:bookmarkStart w:id="62" w:name="_Toc344409076"/>
      <w:bookmarkStart w:id="63" w:name="_Toc318464810"/>
      <w:bookmarkStart w:id="64" w:name="_Toc344409280"/>
      <w:bookmarkStart w:id="65" w:name="_Toc238546344"/>
      <w:bookmarkStart w:id="66" w:name="_Toc323199453"/>
      <w:bookmarkStart w:id="67" w:name="_Toc251955549"/>
      <w:bookmarkStart w:id="68" w:name="_Toc235725867"/>
      <w:r>
        <w:rPr>
          <w:rFonts w:hint="eastAsia" w:ascii="仿宋" w:hAnsi="仿宋" w:eastAsia="仿宋" w:cs="仿宋"/>
          <w:b/>
          <w:color w:val="auto"/>
          <w:sz w:val="30"/>
          <w:szCs w:val="30"/>
          <w:highlight w:val="none"/>
        </w:rPr>
        <w:br w:type="page"/>
      </w:r>
      <w:bookmarkEnd w:id="60"/>
      <w:bookmarkEnd w:id="61"/>
      <w:bookmarkEnd w:id="62"/>
      <w:bookmarkEnd w:id="63"/>
      <w:bookmarkEnd w:id="64"/>
      <w:bookmarkEnd w:id="65"/>
      <w:bookmarkEnd w:id="66"/>
    </w:p>
    <w:bookmarkEnd w:id="67"/>
    <w:bookmarkEnd w:id="68"/>
    <w:p>
      <w:pPr>
        <w:numPr>
          <w:ilvl w:val="0"/>
          <w:numId w:val="3"/>
        </w:numPr>
        <w:spacing w:line="360" w:lineRule="auto"/>
        <w:jc w:val="center"/>
        <w:rPr>
          <w:rFonts w:ascii="仿宋" w:hAnsi="仿宋" w:eastAsia="仿宋" w:cs="仿宋"/>
          <w:color w:val="auto"/>
          <w:sz w:val="32"/>
          <w:szCs w:val="32"/>
          <w:highlight w:val="none"/>
        </w:rPr>
      </w:pPr>
      <w:bookmarkStart w:id="69" w:name="_Toc251955551"/>
      <w:bookmarkStart w:id="70" w:name="_Toc323199455"/>
      <w:bookmarkStart w:id="71" w:name="_Toc344409078"/>
      <w:bookmarkStart w:id="72" w:name="_Toc344409282"/>
      <w:bookmarkStart w:id="73" w:name="_Toc346096045"/>
      <w:bookmarkStart w:id="74" w:name="_Toc470118717"/>
      <w:r>
        <w:rPr>
          <w:rFonts w:hint="eastAsia" w:ascii="仿宋" w:hAnsi="仿宋" w:eastAsia="仿宋" w:cs="仿宋"/>
          <w:color w:val="auto"/>
          <w:sz w:val="32"/>
          <w:szCs w:val="32"/>
          <w:highlight w:val="none"/>
        </w:rPr>
        <w:t>服务方案</w:t>
      </w:r>
    </w:p>
    <w:p>
      <w:pPr>
        <w:spacing w:line="360" w:lineRule="auto"/>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比选申请人根据比选项目采购需求及本项目特点，结合相关法律、法规和政策制定服务方案，包括但不限于(1)服务目标、范围和任务；(</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服务方案（</w:t>
      </w:r>
      <w:r>
        <w:rPr>
          <w:rFonts w:hint="eastAsia" w:ascii="仿宋" w:hAnsi="仿宋" w:eastAsia="仿宋" w:cs="仿宋"/>
          <w:color w:val="auto"/>
          <w:szCs w:val="21"/>
          <w:highlight w:val="none"/>
          <w:lang w:val="en-US" w:eastAsia="zh-CN"/>
        </w:rPr>
        <w:t>含</w:t>
      </w:r>
      <w:r>
        <w:rPr>
          <w:rFonts w:hint="eastAsia" w:ascii="仿宋" w:hAnsi="仿宋" w:eastAsia="仿宋" w:cs="仿宋"/>
          <w:color w:val="auto"/>
          <w:szCs w:val="21"/>
          <w:highlight w:val="none"/>
        </w:rPr>
        <w:t>服务团队组织安排计划</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美陈设计方案（初案）</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)进度计划及保证措施；(</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)质量保证措施；(7)合理化建议；(8)其他。格式自拟。</w:t>
      </w:r>
    </w:p>
    <w:p>
      <w:pPr>
        <w:pStyle w:val="14"/>
        <w:rPr>
          <w:rFonts w:hint="eastAsia" w:ascii="仿宋" w:hAnsi="仿宋" w:eastAsia="仿宋" w:cs="仿宋"/>
          <w:color w:val="auto"/>
          <w:szCs w:val="21"/>
          <w:highlight w:val="none"/>
        </w:rPr>
      </w:pPr>
    </w:p>
    <w:p>
      <w:pPr>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☆申请人必须提供凤凰磁浮文旅项目美陈设计方案</w:t>
      </w:r>
      <w:r>
        <w:rPr>
          <w:rFonts w:hint="eastAsia" w:ascii="仿宋" w:hAnsi="仿宋" w:eastAsia="仿宋" w:cs="仿宋"/>
          <w:b/>
          <w:bCs/>
          <w:color w:val="auto"/>
          <w:szCs w:val="21"/>
          <w:highlight w:val="none"/>
          <w:u w:val="single"/>
          <w:lang w:val="en-US" w:eastAsia="zh-CN"/>
        </w:rPr>
        <w:t>（美陈方案至少包含1个打卡点，2个IP玻璃钢），</w:t>
      </w:r>
      <w:r>
        <w:rPr>
          <w:rFonts w:hint="eastAsia" w:ascii="仿宋" w:hAnsi="仿宋" w:eastAsia="仿宋" w:cs="仿宋"/>
          <w:b/>
          <w:bCs/>
          <w:color w:val="auto"/>
          <w:szCs w:val="21"/>
          <w:highlight w:val="none"/>
          <w:lang w:val="en-US" w:eastAsia="zh-CN"/>
        </w:rPr>
        <w:t>如不提供美陈设计方案，其投标无效。</w:t>
      </w: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 w:val="32"/>
          <w:szCs w:val="32"/>
          <w:highlight w:val="none"/>
        </w:rPr>
      </w:pPr>
    </w:p>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比选申请人：（盖单位章）</w:t>
      </w:r>
    </w:p>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法定代表人或授权代理人：（签字或盖章）</w:t>
      </w:r>
    </w:p>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日期：</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32"/>
          <w:szCs w:val="32"/>
          <w:highlight w:val="none"/>
        </w:rPr>
        <w:t>六、</w:t>
      </w:r>
      <w:bookmarkEnd w:id="69"/>
      <w:r>
        <w:rPr>
          <w:rFonts w:hint="eastAsia" w:ascii="仿宋" w:hAnsi="仿宋" w:eastAsia="仿宋" w:cs="仿宋"/>
          <w:color w:val="auto"/>
          <w:sz w:val="32"/>
          <w:szCs w:val="32"/>
          <w:highlight w:val="none"/>
        </w:rPr>
        <w:t>参选单位基本情况</w:t>
      </w:r>
      <w:bookmarkEnd w:id="70"/>
      <w:bookmarkEnd w:id="71"/>
      <w:bookmarkEnd w:id="72"/>
      <w:bookmarkEnd w:id="73"/>
      <w:bookmarkEnd w:id="74"/>
    </w:p>
    <w:p>
      <w:pPr>
        <w:pStyle w:val="5"/>
        <w:spacing w:before="0" w:beforeAutospacing="0" w:after="0" w:afterAutospacing="0"/>
        <w:jc w:val="center"/>
        <w:rPr>
          <w:rFonts w:ascii="仿宋" w:hAnsi="仿宋" w:eastAsia="仿宋" w:cs="仿宋"/>
          <w:b w:val="0"/>
          <w:bCs w:val="0"/>
          <w:color w:val="auto"/>
          <w:sz w:val="30"/>
          <w:szCs w:val="30"/>
          <w:highlight w:val="none"/>
        </w:rPr>
      </w:pPr>
      <w:bookmarkStart w:id="75" w:name="_Toc235725871"/>
      <w:bookmarkStart w:id="76" w:name="_Toc346096046"/>
      <w:bookmarkStart w:id="77" w:name="_Toc344409283"/>
      <w:bookmarkStart w:id="78" w:name="_Toc152042597"/>
      <w:bookmarkStart w:id="79" w:name="_Toc318464811"/>
      <w:bookmarkStart w:id="80" w:name="_Toc26251"/>
      <w:bookmarkStart w:id="81" w:name="_Toc179632828"/>
      <w:bookmarkStart w:id="82" w:name="_Toc152045808"/>
      <w:bookmarkStart w:id="83" w:name="_Toc318464894"/>
      <w:bookmarkStart w:id="84" w:name="_Toc3910"/>
      <w:bookmarkStart w:id="85" w:name="_Toc344409079"/>
      <w:bookmarkStart w:id="86" w:name="_Toc144974876"/>
      <w:bookmarkStart w:id="87" w:name="_Toc323199456"/>
      <w:bookmarkStart w:id="88" w:name="_Toc5858"/>
      <w:bookmarkStart w:id="89" w:name="_Toc470118718"/>
      <w:r>
        <w:rPr>
          <w:rFonts w:hint="eastAsia" w:ascii="仿宋" w:hAnsi="仿宋" w:eastAsia="仿宋" w:cs="仿宋"/>
          <w:b w:val="0"/>
          <w:bCs w:val="0"/>
          <w:color w:val="auto"/>
          <w:sz w:val="30"/>
          <w:szCs w:val="30"/>
          <w:highlight w:val="none"/>
        </w:rPr>
        <w:t>（一）比选申请人基本情况表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bl>
      <w:tblPr>
        <w:tblStyle w:val="33"/>
        <w:tblW w:w="8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1"/>
        <w:gridCol w:w="1242"/>
        <w:gridCol w:w="741"/>
        <w:gridCol w:w="1082"/>
        <w:gridCol w:w="172"/>
        <w:gridCol w:w="8"/>
        <w:gridCol w:w="1357"/>
        <w:gridCol w:w="214"/>
        <w:gridCol w:w="861"/>
        <w:gridCol w:w="11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比选申请人名称</w:t>
            </w:r>
          </w:p>
        </w:tc>
        <w:tc>
          <w:tcPr>
            <w:tcW w:w="6794" w:type="dxa"/>
            <w:gridSpan w:val="9"/>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注册地址</w:t>
            </w:r>
          </w:p>
        </w:tc>
        <w:tc>
          <w:tcPr>
            <w:tcW w:w="3245" w:type="dxa"/>
            <w:gridSpan w:val="5"/>
            <w:vAlign w:val="center"/>
          </w:tcPr>
          <w:p>
            <w:pPr>
              <w:topLinePunct/>
              <w:spacing w:line="360" w:lineRule="auto"/>
              <w:jc w:val="center"/>
              <w:rPr>
                <w:rFonts w:ascii="仿宋" w:hAnsi="仿宋" w:eastAsia="仿宋" w:cs="仿宋"/>
                <w:color w:val="auto"/>
                <w:sz w:val="24"/>
                <w:highlight w:val="none"/>
              </w:rPr>
            </w:pPr>
          </w:p>
        </w:tc>
        <w:tc>
          <w:tcPr>
            <w:tcW w:w="1357"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邮政编码</w:t>
            </w:r>
          </w:p>
        </w:tc>
        <w:tc>
          <w:tcPr>
            <w:tcW w:w="2192" w:type="dxa"/>
            <w:gridSpan w:val="3"/>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911" w:type="dxa"/>
            <w:vMerge w:val="restart"/>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联系方式</w:t>
            </w:r>
          </w:p>
        </w:tc>
        <w:tc>
          <w:tcPr>
            <w:tcW w:w="1242"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联系人</w:t>
            </w:r>
          </w:p>
        </w:tc>
        <w:tc>
          <w:tcPr>
            <w:tcW w:w="2003" w:type="dxa"/>
            <w:gridSpan w:val="4"/>
            <w:vAlign w:val="center"/>
          </w:tcPr>
          <w:p>
            <w:pPr>
              <w:topLinePunct/>
              <w:spacing w:line="360" w:lineRule="auto"/>
              <w:jc w:val="center"/>
              <w:rPr>
                <w:rFonts w:ascii="仿宋" w:hAnsi="仿宋" w:eastAsia="仿宋" w:cs="仿宋"/>
                <w:color w:val="auto"/>
                <w:sz w:val="24"/>
                <w:highlight w:val="none"/>
              </w:rPr>
            </w:pPr>
          </w:p>
        </w:tc>
        <w:tc>
          <w:tcPr>
            <w:tcW w:w="1357"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电 话</w:t>
            </w:r>
          </w:p>
        </w:tc>
        <w:tc>
          <w:tcPr>
            <w:tcW w:w="2192" w:type="dxa"/>
            <w:gridSpan w:val="3"/>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911" w:type="dxa"/>
            <w:vMerge w:val="continue"/>
            <w:vAlign w:val="center"/>
          </w:tcPr>
          <w:p>
            <w:pPr>
              <w:topLinePunct/>
              <w:spacing w:line="360" w:lineRule="auto"/>
              <w:jc w:val="center"/>
              <w:rPr>
                <w:rFonts w:ascii="仿宋" w:hAnsi="仿宋" w:eastAsia="仿宋" w:cs="仿宋"/>
                <w:color w:val="auto"/>
                <w:sz w:val="24"/>
                <w:highlight w:val="none"/>
              </w:rPr>
            </w:pPr>
          </w:p>
        </w:tc>
        <w:tc>
          <w:tcPr>
            <w:tcW w:w="1242"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传  真</w:t>
            </w:r>
          </w:p>
        </w:tc>
        <w:tc>
          <w:tcPr>
            <w:tcW w:w="2003" w:type="dxa"/>
            <w:gridSpan w:val="4"/>
            <w:vAlign w:val="center"/>
          </w:tcPr>
          <w:p>
            <w:pPr>
              <w:topLinePunct/>
              <w:spacing w:line="360" w:lineRule="auto"/>
              <w:jc w:val="center"/>
              <w:rPr>
                <w:rFonts w:ascii="仿宋" w:hAnsi="仿宋" w:eastAsia="仿宋" w:cs="仿宋"/>
                <w:color w:val="auto"/>
                <w:sz w:val="24"/>
                <w:highlight w:val="none"/>
              </w:rPr>
            </w:pPr>
          </w:p>
        </w:tc>
        <w:tc>
          <w:tcPr>
            <w:tcW w:w="1357"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网 址</w:t>
            </w:r>
          </w:p>
        </w:tc>
        <w:tc>
          <w:tcPr>
            <w:tcW w:w="2192" w:type="dxa"/>
            <w:gridSpan w:val="3"/>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1242"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741" w:type="dxa"/>
            <w:vAlign w:val="center"/>
          </w:tcPr>
          <w:p>
            <w:pPr>
              <w:topLinePunct/>
              <w:spacing w:line="360" w:lineRule="auto"/>
              <w:jc w:val="center"/>
              <w:rPr>
                <w:rFonts w:ascii="仿宋" w:hAnsi="仿宋" w:eastAsia="仿宋" w:cs="仿宋"/>
                <w:color w:val="auto"/>
                <w:sz w:val="24"/>
                <w:highlight w:val="none"/>
              </w:rPr>
            </w:pPr>
          </w:p>
        </w:tc>
        <w:tc>
          <w:tcPr>
            <w:tcW w:w="1254" w:type="dxa"/>
            <w:gridSpan w:val="2"/>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579" w:type="dxa"/>
            <w:gridSpan w:val="3"/>
            <w:vAlign w:val="center"/>
          </w:tcPr>
          <w:p>
            <w:pPr>
              <w:topLinePunct/>
              <w:spacing w:line="360" w:lineRule="auto"/>
              <w:jc w:val="center"/>
              <w:rPr>
                <w:rFonts w:ascii="仿宋" w:hAnsi="仿宋" w:eastAsia="仿宋" w:cs="仿宋"/>
                <w:color w:val="auto"/>
                <w:sz w:val="24"/>
                <w:highlight w:val="none"/>
              </w:rPr>
            </w:pPr>
          </w:p>
        </w:tc>
        <w:tc>
          <w:tcPr>
            <w:tcW w:w="86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117" w:type="dxa"/>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技术负责人</w:t>
            </w:r>
          </w:p>
        </w:tc>
        <w:tc>
          <w:tcPr>
            <w:tcW w:w="1242"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741" w:type="dxa"/>
            <w:vAlign w:val="center"/>
          </w:tcPr>
          <w:p>
            <w:pPr>
              <w:topLinePunct/>
              <w:spacing w:line="360" w:lineRule="auto"/>
              <w:jc w:val="center"/>
              <w:rPr>
                <w:rFonts w:ascii="仿宋" w:hAnsi="仿宋" w:eastAsia="仿宋" w:cs="仿宋"/>
                <w:color w:val="auto"/>
                <w:sz w:val="24"/>
                <w:highlight w:val="none"/>
              </w:rPr>
            </w:pPr>
          </w:p>
        </w:tc>
        <w:tc>
          <w:tcPr>
            <w:tcW w:w="1254" w:type="dxa"/>
            <w:gridSpan w:val="2"/>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579" w:type="dxa"/>
            <w:gridSpan w:val="3"/>
            <w:vAlign w:val="center"/>
          </w:tcPr>
          <w:p>
            <w:pPr>
              <w:topLinePunct/>
              <w:spacing w:line="360" w:lineRule="auto"/>
              <w:jc w:val="center"/>
              <w:rPr>
                <w:rFonts w:ascii="仿宋" w:hAnsi="仿宋" w:eastAsia="仿宋" w:cs="仿宋"/>
                <w:color w:val="auto"/>
                <w:sz w:val="24"/>
                <w:highlight w:val="none"/>
              </w:rPr>
            </w:pPr>
          </w:p>
        </w:tc>
        <w:tc>
          <w:tcPr>
            <w:tcW w:w="86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1117" w:type="dxa"/>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成立时间</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4811" w:type="dxa"/>
            <w:gridSpan w:val="7"/>
            <w:vAlign w:val="center"/>
          </w:tcPr>
          <w:p>
            <w:pPr>
              <w:topLinePunct/>
              <w:spacing w:line="360" w:lineRule="auto"/>
              <w:ind w:firstLine="120" w:firstLine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企业资质等级</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1082" w:type="dxa"/>
            <w:vMerge w:val="restart"/>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其中</w:t>
            </w:r>
          </w:p>
        </w:tc>
        <w:tc>
          <w:tcPr>
            <w:tcW w:w="1751" w:type="dxa"/>
            <w:gridSpan w:val="4"/>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高级职称人员</w:t>
            </w:r>
          </w:p>
        </w:tc>
        <w:tc>
          <w:tcPr>
            <w:tcW w:w="1978" w:type="dxa"/>
            <w:gridSpan w:val="2"/>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营业执照号</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1082" w:type="dxa"/>
            <w:vMerge w:val="continue"/>
            <w:vAlign w:val="center"/>
          </w:tcPr>
          <w:p>
            <w:pPr>
              <w:topLinePunct/>
              <w:spacing w:line="360" w:lineRule="auto"/>
              <w:jc w:val="center"/>
              <w:rPr>
                <w:rFonts w:ascii="仿宋" w:hAnsi="仿宋" w:eastAsia="仿宋" w:cs="仿宋"/>
                <w:color w:val="auto"/>
                <w:sz w:val="24"/>
                <w:highlight w:val="none"/>
              </w:rPr>
            </w:pPr>
          </w:p>
        </w:tc>
        <w:tc>
          <w:tcPr>
            <w:tcW w:w="1751" w:type="dxa"/>
            <w:gridSpan w:val="4"/>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中级职称人员</w:t>
            </w:r>
          </w:p>
        </w:tc>
        <w:tc>
          <w:tcPr>
            <w:tcW w:w="1978" w:type="dxa"/>
            <w:gridSpan w:val="2"/>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注册资金</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1082" w:type="dxa"/>
            <w:vMerge w:val="continue"/>
            <w:vAlign w:val="center"/>
          </w:tcPr>
          <w:p>
            <w:pPr>
              <w:topLinePunct/>
              <w:spacing w:line="360" w:lineRule="auto"/>
              <w:jc w:val="center"/>
              <w:rPr>
                <w:rFonts w:ascii="仿宋" w:hAnsi="仿宋" w:eastAsia="仿宋" w:cs="仿宋"/>
                <w:color w:val="auto"/>
                <w:sz w:val="24"/>
                <w:highlight w:val="none"/>
              </w:rPr>
            </w:pPr>
          </w:p>
        </w:tc>
        <w:tc>
          <w:tcPr>
            <w:tcW w:w="1751" w:type="dxa"/>
            <w:gridSpan w:val="4"/>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初级职称人员</w:t>
            </w:r>
          </w:p>
        </w:tc>
        <w:tc>
          <w:tcPr>
            <w:tcW w:w="1978" w:type="dxa"/>
            <w:gridSpan w:val="2"/>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基本帐户开户银行</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1082" w:type="dxa"/>
            <w:vMerge w:val="continue"/>
            <w:vAlign w:val="center"/>
          </w:tcPr>
          <w:p>
            <w:pPr>
              <w:topLinePunct/>
              <w:spacing w:line="360" w:lineRule="auto"/>
              <w:jc w:val="center"/>
              <w:rPr>
                <w:rFonts w:ascii="仿宋" w:hAnsi="仿宋" w:eastAsia="仿宋" w:cs="仿宋"/>
                <w:color w:val="auto"/>
                <w:sz w:val="24"/>
                <w:highlight w:val="none"/>
              </w:rPr>
            </w:pPr>
          </w:p>
        </w:tc>
        <w:tc>
          <w:tcPr>
            <w:tcW w:w="1751" w:type="dxa"/>
            <w:gridSpan w:val="4"/>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技  工</w:t>
            </w:r>
          </w:p>
        </w:tc>
        <w:tc>
          <w:tcPr>
            <w:tcW w:w="1978" w:type="dxa"/>
            <w:gridSpan w:val="2"/>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基本帐户账号</w:t>
            </w:r>
          </w:p>
        </w:tc>
        <w:tc>
          <w:tcPr>
            <w:tcW w:w="1983" w:type="dxa"/>
            <w:gridSpan w:val="2"/>
            <w:vAlign w:val="center"/>
          </w:tcPr>
          <w:p>
            <w:pPr>
              <w:topLinePunct/>
              <w:spacing w:line="360" w:lineRule="auto"/>
              <w:jc w:val="center"/>
              <w:rPr>
                <w:rFonts w:ascii="仿宋" w:hAnsi="仿宋" w:eastAsia="仿宋" w:cs="仿宋"/>
                <w:color w:val="auto"/>
                <w:sz w:val="24"/>
                <w:highlight w:val="none"/>
              </w:rPr>
            </w:pPr>
          </w:p>
        </w:tc>
        <w:tc>
          <w:tcPr>
            <w:tcW w:w="1082" w:type="dxa"/>
            <w:vMerge w:val="continue"/>
            <w:vAlign w:val="center"/>
          </w:tcPr>
          <w:p>
            <w:pPr>
              <w:topLinePunct/>
              <w:spacing w:line="360" w:lineRule="auto"/>
              <w:jc w:val="center"/>
              <w:rPr>
                <w:rFonts w:ascii="仿宋" w:hAnsi="仿宋" w:eastAsia="仿宋" w:cs="仿宋"/>
                <w:color w:val="auto"/>
                <w:sz w:val="24"/>
                <w:highlight w:val="none"/>
              </w:rPr>
            </w:pPr>
          </w:p>
        </w:tc>
        <w:tc>
          <w:tcPr>
            <w:tcW w:w="1751" w:type="dxa"/>
            <w:gridSpan w:val="4"/>
            <w:vAlign w:val="center"/>
          </w:tcPr>
          <w:p>
            <w:pPr>
              <w:topLinePunct/>
              <w:spacing w:line="360" w:lineRule="auto"/>
              <w:jc w:val="center"/>
              <w:rPr>
                <w:rFonts w:ascii="仿宋" w:hAnsi="仿宋" w:eastAsia="仿宋" w:cs="仿宋"/>
                <w:color w:val="auto"/>
                <w:sz w:val="24"/>
                <w:highlight w:val="none"/>
              </w:rPr>
            </w:pPr>
          </w:p>
        </w:tc>
        <w:tc>
          <w:tcPr>
            <w:tcW w:w="1978" w:type="dxa"/>
            <w:gridSpan w:val="2"/>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1911"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经营范围</w:t>
            </w:r>
          </w:p>
        </w:tc>
        <w:tc>
          <w:tcPr>
            <w:tcW w:w="6794" w:type="dxa"/>
            <w:gridSpan w:val="9"/>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资产构成情况及投资参股的关联企业情况</w:t>
            </w:r>
          </w:p>
        </w:tc>
        <w:tc>
          <w:tcPr>
            <w:tcW w:w="6794" w:type="dxa"/>
            <w:gridSpan w:val="9"/>
            <w:vAlign w:val="center"/>
          </w:tcPr>
          <w:p>
            <w:pPr>
              <w:topLinePunct/>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911" w:type="dxa"/>
            <w:vAlign w:val="center"/>
          </w:tcPr>
          <w:p>
            <w:pPr>
              <w:topLinePunct/>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6794" w:type="dxa"/>
            <w:gridSpan w:val="9"/>
            <w:vAlign w:val="center"/>
          </w:tcPr>
          <w:p>
            <w:pPr>
              <w:topLinePunct/>
              <w:spacing w:line="360" w:lineRule="auto"/>
              <w:jc w:val="center"/>
              <w:rPr>
                <w:rFonts w:ascii="仿宋" w:hAnsi="仿宋" w:eastAsia="仿宋" w:cs="仿宋"/>
                <w:color w:val="auto"/>
                <w:sz w:val="24"/>
                <w:highlight w:val="none"/>
              </w:rPr>
            </w:pPr>
          </w:p>
        </w:tc>
      </w:tr>
    </w:tbl>
    <w:p>
      <w:pPr>
        <w:pStyle w:val="5"/>
        <w:spacing w:line="360" w:lineRule="auto"/>
        <w:jc w:val="center"/>
        <w:rPr>
          <w:rFonts w:ascii="仿宋" w:hAnsi="仿宋" w:eastAsia="仿宋" w:cs="仿宋"/>
          <w:b w:val="0"/>
          <w:bCs w:val="0"/>
          <w:color w:val="auto"/>
          <w:sz w:val="30"/>
          <w:szCs w:val="30"/>
          <w:highlight w:val="none"/>
        </w:rPr>
      </w:pPr>
      <w:bookmarkStart w:id="90" w:name="_Toc318464896"/>
      <w:bookmarkStart w:id="91" w:name="_Toc344409285"/>
      <w:bookmarkStart w:id="92" w:name="_Toc318464813"/>
      <w:bookmarkStart w:id="93" w:name="_Toc323199458"/>
      <w:bookmarkStart w:id="94" w:name="_Toc346096048"/>
      <w:bookmarkStart w:id="95" w:name="_Toc344409081"/>
      <w:bookmarkStart w:id="96" w:name="_Toc470118719"/>
    </w:p>
    <w:p>
      <w:pPr>
        <w:rPr>
          <w:color w:val="auto"/>
          <w:highlight w:val="none"/>
        </w:rPr>
      </w:pPr>
    </w:p>
    <w:p>
      <w:pPr>
        <w:pStyle w:val="5"/>
        <w:spacing w:line="360" w:lineRule="auto"/>
        <w:jc w:val="center"/>
        <w:rPr>
          <w:rFonts w:ascii="仿宋" w:hAnsi="仿宋" w:eastAsia="仿宋" w:cs="仿宋"/>
          <w:color w:val="auto"/>
          <w:sz w:val="28"/>
          <w:szCs w:val="28"/>
          <w:highlight w:val="none"/>
        </w:rPr>
      </w:pPr>
      <w:bookmarkStart w:id="97" w:name="_Toc1019"/>
      <w:bookmarkStart w:id="98" w:name="_Toc27799"/>
      <w:bookmarkStart w:id="99" w:name="_Toc21241"/>
      <w:r>
        <w:rPr>
          <w:rFonts w:hint="eastAsia" w:ascii="仿宋" w:hAnsi="仿宋" w:eastAsia="仿宋" w:cs="仿宋"/>
          <w:b w:val="0"/>
          <w:bCs w:val="0"/>
          <w:color w:val="auto"/>
          <w:sz w:val="30"/>
          <w:szCs w:val="30"/>
          <w:highlight w:val="none"/>
        </w:rPr>
        <w:t>（二）</w:t>
      </w:r>
      <w:bookmarkEnd w:id="90"/>
      <w:bookmarkEnd w:id="91"/>
      <w:bookmarkEnd w:id="92"/>
      <w:bookmarkEnd w:id="93"/>
      <w:bookmarkEnd w:id="94"/>
      <w:bookmarkEnd w:id="95"/>
      <w:bookmarkEnd w:id="96"/>
      <w:r>
        <w:rPr>
          <w:rFonts w:hint="eastAsia" w:ascii="仿宋" w:hAnsi="仿宋" w:eastAsia="仿宋" w:cs="仿宋"/>
          <w:b w:val="0"/>
          <w:bCs w:val="0"/>
          <w:color w:val="auto"/>
          <w:sz w:val="30"/>
          <w:szCs w:val="30"/>
          <w:highlight w:val="none"/>
        </w:rPr>
        <w:t>拟任本项目部人员配置情况表</w:t>
      </w:r>
      <w:bookmarkEnd w:id="97"/>
      <w:bookmarkEnd w:id="98"/>
      <w:bookmarkEnd w:id="99"/>
    </w:p>
    <w:tbl>
      <w:tblPr>
        <w:tblStyle w:val="33"/>
        <w:tblW w:w="97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4"/>
        <w:gridCol w:w="2082"/>
        <w:gridCol w:w="1446"/>
        <w:gridCol w:w="900"/>
        <w:gridCol w:w="1031"/>
        <w:gridCol w:w="1440"/>
        <w:gridCol w:w="1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082"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在本项目</w:t>
            </w: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担任的职务</w:t>
            </w:r>
          </w:p>
        </w:tc>
        <w:tc>
          <w:tcPr>
            <w:tcW w:w="14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姓名</w:t>
            </w:r>
          </w:p>
        </w:tc>
        <w:tc>
          <w:tcPr>
            <w:tcW w:w="9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性别</w:t>
            </w:r>
          </w:p>
        </w:tc>
        <w:tc>
          <w:tcPr>
            <w:tcW w:w="1031"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年龄</w:t>
            </w:r>
          </w:p>
        </w:tc>
        <w:tc>
          <w:tcPr>
            <w:tcW w:w="144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86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项目负责人</w:t>
            </w: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其他人员</w:t>
            </w: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 …</w:t>
            </w: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spacing w:before="100" w:after="100" w:line="240" w:lineRule="exact"/>
              <w:jc w:val="center"/>
              <w:rPr>
                <w:rFonts w:ascii="仿宋" w:hAnsi="仿宋" w:eastAsia="仿宋" w:cs="仿宋"/>
                <w:color w:val="auto"/>
                <w:sz w:val="24"/>
                <w:highlight w:val="none"/>
              </w:rPr>
            </w:pP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004" w:type="dxa"/>
            <w:vAlign w:val="center"/>
          </w:tcPr>
          <w:p>
            <w:pPr>
              <w:jc w:val="center"/>
              <w:rPr>
                <w:rFonts w:ascii="仿宋" w:hAnsi="仿宋" w:eastAsia="仿宋" w:cs="仿宋"/>
                <w:color w:val="auto"/>
                <w:sz w:val="24"/>
                <w:highlight w:val="none"/>
              </w:rPr>
            </w:pPr>
          </w:p>
        </w:tc>
        <w:tc>
          <w:tcPr>
            <w:tcW w:w="2082" w:type="dxa"/>
            <w:vAlign w:val="center"/>
          </w:tcPr>
          <w:p>
            <w:pPr>
              <w:jc w:val="center"/>
              <w:rPr>
                <w:rFonts w:ascii="仿宋" w:hAnsi="仿宋" w:eastAsia="仿宋" w:cs="仿宋"/>
                <w:color w:val="auto"/>
                <w:sz w:val="24"/>
                <w:highlight w:val="none"/>
              </w:rPr>
            </w:pPr>
          </w:p>
        </w:tc>
        <w:tc>
          <w:tcPr>
            <w:tcW w:w="1446" w:type="dxa"/>
            <w:vAlign w:val="center"/>
          </w:tcPr>
          <w:p>
            <w:pPr>
              <w:jc w:val="center"/>
              <w:rPr>
                <w:rFonts w:ascii="仿宋" w:hAnsi="仿宋" w:eastAsia="仿宋" w:cs="仿宋"/>
                <w:color w:val="auto"/>
                <w:sz w:val="24"/>
                <w:highlight w:val="none"/>
              </w:rPr>
            </w:pPr>
          </w:p>
        </w:tc>
        <w:tc>
          <w:tcPr>
            <w:tcW w:w="900" w:type="dxa"/>
            <w:vAlign w:val="center"/>
          </w:tcPr>
          <w:p>
            <w:pPr>
              <w:jc w:val="center"/>
              <w:rPr>
                <w:rFonts w:ascii="仿宋" w:hAnsi="仿宋" w:eastAsia="仿宋" w:cs="仿宋"/>
                <w:color w:val="auto"/>
                <w:sz w:val="24"/>
                <w:highlight w:val="none"/>
              </w:rPr>
            </w:pPr>
          </w:p>
        </w:tc>
        <w:tc>
          <w:tcPr>
            <w:tcW w:w="1031" w:type="dxa"/>
            <w:vAlign w:val="center"/>
          </w:tcPr>
          <w:p>
            <w:pPr>
              <w:jc w:val="center"/>
              <w:rPr>
                <w:rFonts w:ascii="仿宋" w:hAnsi="仿宋" w:eastAsia="仿宋" w:cs="仿宋"/>
                <w:color w:val="auto"/>
                <w:sz w:val="24"/>
                <w:highlight w:val="none"/>
              </w:rPr>
            </w:pPr>
          </w:p>
        </w:tc>
        <w:tc>
          <w:tcPr>
            <w:tcW w:w="1440" w:type="dxa"/>
            <w:vAlign w:val="center"/>
          </w:tcPr>
          <w:p>
            <w:pPr>
              <w:jc w:val="center"/>
              <w:rPr>
                <w:rFonts w:ascii="仿宋" w:hAnsi="仿宋" w:eastAsia="仿宋" w:cs="仿宋"/>
                <w:color w:val="auto"/>
                <w:sz w:val="24"/>
                <w:highlight w:val="none"/>
              </w:rPr>
            </w:pPr>
          </w:p>
        </w:tc>
        <w:tc>
          <w:tcPr>
            <w:tcW w:w="1860" w:type="dxa"/>
            <w:vAlign w:val="center"/>
          </w:tcPr>
          <w:p>
            <w:pPr>
              <w:jc w:val="center"/>
              <w:rPr>
                <w:rFonts w:ascii="仿宋" w:hAnsi="仿宋" w:eastAsia="仿宋" w:cs="仿宋"/>
                <w:color w:val="auto"/>
                <w:sz w:val="24"/>
                <w:highlight w:val="none"/>
              </w:rPr>
            </w:pPr>
          </w:p>
        </w:tc>
      </w:tr>
    </w:tbl>
    <w:p>
      <w:pPr>
        <w:spacing w:line="360" w:lineRule="auto"/>
        <w:ind w:firstLine="480"/>
        <w:rPr>
          <w:rFonts w:ascii="仿宋" w:hAnsi="仿宋" w:eastAsia="仿宋" w:cs="仿宋"/>
          <w:color w:val="auto"/>
          <w:szCs w:val="21"/>
          <w:highlight w:val="none"/>
        </w:rPr>
      </w:pPr>
    </w:p>
    <w:p>
      <w:pPr>
        <w:pStyle w:val="5"/>
        <w:spacing w:line="360" w:lineRule="auto"/>
        <w:jc w:val="center"/>
        <w:rPr>
          <w:rFonts w:ascii="仿宋" w:hAnsi="仿宋" w:eastAsia="仿宋" w:cs="仿宋"/>
          <w:color w:val="auto"/>
          <w:sz w:val="28"/>
          <w:szCs w:val="28"/>
          <w:highlight w:val="none"/>
        </w:rPr>
      </w:pPr>
      <w:bookmarkStart w:id="100" w:name="_Toc318464814"/>
      <w:bookmarkStart w:id="101" w:name="_Toc346096049"/>
      <w:bookmarkStart w:id="102" w:name="_Toc344409082"/>
      <w:bookmarkStart w:id="103" w:name="_Toc144974878"/>
      <w:bookmarkStart w:id="104" w:name="_Toc152042599"/>
      <w:bookmarkStart w:id="105" w:name="_Toc344409286"/>
      <w:bookmarkStart w:id="106" w:name="_Toc235725875"/>
      <w:bookmarkStart w:id="107" w:name="_Toc318464897"/>
      <w:bookmarkStart w:id="108" w:name="_Toc323199459"/>
      <w:bookmarkStart w:id="109" w:name="_Toc152045810"/>
      <w:bookmarkStart w:id="110" w:name="_Toc179632830"/>
      <w:r>
        <w:rPr>
          <w:rFonts w:hint="eastAsia" w:ascii="仿宋" w:hAnsi="仿宋" w:eastAsia="仿宋" w:cs="仿宋"/>
          <w:color w:val="auto"/>
          <w:sz w:val="28"/>
          <w:szCs w:val="28"/>
          <w:highlight w:val="none"/>
        </w:rPr>
        <w:br w:type="page"/>
      </w:r>
      <w:bookmarkStart w:id="111" w:name="_Toc226"/>
      <w:bookmarkStart w:id="112" w:name="_Toc32531"/>
      <w:bookmarkStart w:id="113" w:name="_Toc10301"/>
      <w:r>
        <w:rPr>
          <w:rFonts w:hint="eastAsia" w:ascii="仿宋" w:hAnsi="仿宋" w:eastAsia="仿宋" w:cs="仿宋"/>
          <w:b w:val="0"/>
          <w:bCs w:val="0"/>
          <w:color w:val="auto"/>
          <w:sz w:val="30"/>
          <w:szCs w:val="30"/>
          <w:highlight w:val="none"/>
        </w:rPr>
        <w:t>（三）拟任本项目部人员简历表</w:t>
      </w:r>
      <w:bookmarkEnd w:id="111"/>
      <w:bookmarkEnd w:id="112"/>
      <w:bookmarkEnd w:id="113"/>
    </w:p>
    <w:tbl>
      <w:tblPr>
        <w:tblStyle w:val="33"/>
        <w:tblW w:w="96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5"/>
        <w:gridCol w:w="1500"/>
        <w:gridCol w:w="1500"/>
        <w:gridCol w:w="1500"/>
        <w:gridCol w:w="1500"/>
        <w:gridCol w:w="1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姓  名</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性  别</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年  龄</w:t>
            </w:r>
          </w:p>
        </w:tc>
        <w:tc>
          <w:tcPr>
            <w:tcW w:w="1849"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学  历</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专  业 </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现任职务</w:t>
            </w:r>
          </w:p>
        </w:tc>
        <w:tc>
          <w:tcPr>
            <w:tcW w:w="1849"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技术职称</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拟任职务</w:t>
            </w:r>
          </w:p>
        </w:tc>
        <w:tc>
          <w:tcPr>
            <w:tcW w:w="1500" w:type="dxa"/>
            <w:vAlign w:val="center"/>
          </w:tcPr>
          <w:p>
            <w:pPr>
              <w:jc w:val="center"/>
              <w:rPr>
                <w:rFonts w:ascii="仿宋" w:hAnsi="仿宋" w:eastAsia="仿宋" w:cs="仿宋"/>
                <w:color w:val="auto"/>
                <w:sz w:val="24"/>
                <w:highlight w:val="none"/>
              </w:rPr>
            </w:pPr>
          </w:p>
        </w:tc>
        <w:tc>
          <w:tcPr>
            <w:tcW w:w="1500"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职称证号</w:t>
            </w:r>
          </w:p>
        </w:tc>
        <w:tc>
          <w:tcPr>
            <w:tcW w:w="1849" w:type="dxa"/>
            <w:vAlign w:val="center"/>
          </w:tcPr>
          <w:p>
            <w:pPr>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5" w:hRule="atLeast"/>
          <w:jc w:val="center"/>
        </w:trPr>
        <w:tc>
          <w:tcPr>
            <w:tcW w:w="1815"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主要业绩</w:t>
            </w:r>
          </w:p>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及经历</w:t>
            </w:r>
          </w:p>
        </w:tc>
        <w:tc>
          <w:tcPr>
            <w:tcW w:w="7849" w:type="dxa"/>
            <w:gridSpan w:val="5"/>
            <w:vAlign w:val="center"/>
          </w:tcPr>
          <w:p>
            <w:pPr>
              <w:jc w:val="center"/>
              <w:rPr>
                <w:rFonts w:ascii="仿宋" w:hAnsi="仿宋" w:eastAsia="仿宋" w:cs="仿宋"/>
                <w:color w:val="auto"/>
                <w:sz w:val="24"/>
                <w:highlight w:val="none"/>
              </w:rPr>
            </w:pPr>
          </w:p>
        </w:tc>
      </w:tr>
    </w:tbl>
    <w:p>
      <w:pPr>
        <w:spacing w:line="360" w:lineRule="auto"/>
        <w:jc w:val="center"/>
        <w:rPr>
          <w:rFonts w:ascii="仿宋" w:hAnsi="仿宋" w:eastAsia="仿宋" w:cs="仿宋"/>
          <w:b/>
          <w:bCs/>
          <w:color w:val="auto"/>
          <w:sz w:val="28"/>
          <w:szCs w:val="28"/>
          <w:highlight w:val="none"/>
        </w:rPr>
      </w:pP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 xml:space="preserve">附： </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 1 \* GB3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①</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项目负责人职称证证书、社保证明（或在编证明）的复印件；</w:t>
      </w:r>
    </w:p>
    <w:p>
      <w:pPr>
        <w:spacing w:line="360" w:lineRule="auto"/>
        <w:ind w:firstLine="960" w:firstLineChars="400"/>
        <w:rPr>
          <w:rFonts w:ascii="仿宋" w:hAnsi="仿宋" w:eastAsia="仿宋" w:cs="仿宋"/>
          <w:bCs/>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 2 \* GB3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②</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项目部拟任其他人员资格证书。</w:t>
      </w:r>
    </w:p>
    <w:p>
      <w:pPr>
        <w:pStyle w:val="49"/>
        <w:spacing w:line="360" w:lineRule="auto"/>
        <w:jc w:val="center"/>
        <w:rPr>
          <w:rFonts w:ascii="仿宋" w:hAnsi="仿宋" w:eastAsia="仿宋" w:cs="仿宋"/>
          <w:color w:val="auto"/>
          <w:szCs w:val="23"/>
          <w:highlight w:val="none"/>
        </w:rPr>
      </w:pPr>
    </w:p>
    <w:p>
      <w:pPr>
        <w:pStyle w:val="5"/>
        <w:spacing w:line="360" w:lineRule="auto"/>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bookmarkStart w:id="114" w:name="_Toc16560"/>
      <w:bookmarkStart w:id="115" w:name="_Toc13384"/>
      <w:bookmarkStart w:id="116" w:name="_Toc470118720"/>
      <w:bookmarkStart w:id="117" w:name="_Toc24009"/>
      <w:r>
        <w:rPr>
          <w:rFonts w:hint="eastAsia" w:ascii="仿宋" w:hAnsi="仿宋" w:eastAsia="仿宋" w:cs="仿宋"/>
          <w:b w:val="0"/>
          <w:bCs w:val="0"/>
          <w:color w:val="auto"/>
          <w:sz w:val="30"/>
          <w:szCs w:val="30"/>
          <w:highlight w:val="none"/>
        </w:rPr>
        <w:t>（四）近三年完成的</w:t>
      </w:r>
      <w:r>
        <w:rPr>
          <w:rFonts w:hint="eastAsia" w:ascii="仿宋" w:hAnsi="仿宋" w:eastAsia="仿宋" w:cs="仿宋"/>
          <w:b w:val="0"/>
          <w:bCs w:val="0"/>
          <w:color w:val="auto"/>
          <w:sz w:val="30"/>
          <w:szCs w:val="30"/>
          <w:highlight w:val="none"/>
          <w:lang w:eastAsia="zh-CN"/>
        </w:rPr>
        <w:t>服务类似业绩</w:t>
      </w:r>
      <w:r>
        <w:rPr>
          <w:rFonts w:hint="eastAsia" w:ascii="仿宋" w:hAnsi="仿宋" w:eastAsia="仿宋" w:cs="仿宋"/>
          <w:b w:val="0"/>
          <w:bCs w:val="0"/>
          <w:color w:val="auto"/>
          <w:sz w:val="30"/>
          <w:szCs w:val="30"/>
          <w:highlight w:val="none"/>
        </w:rPr>
        <w:t>项目情况表</w:t>
      </w:r>
      <w:bookmarkEnd w:id="100"/>
      <w:bookmarkEnd w:id="101"/>
      <w:bookmarkEnd w:id="102"/>
      <w:bookmarkEnd w:id="103"/>
      <w:bookmarkEnd w:id="104"/>
      <w:bookmarkEnd w:id="105"/>
      <w:bookmarkEnd w:id="106"/>
      <w:bookmarkEnd w:id="107"/>
      <w:bookmarkEnd w:id="108"/>
      <w:bookmarkEnd w:id="109"/>
      <w:bookmarkEnd w:id="110"/>
      <w:bookmarkEnd w:id="114"/>
      <w:bookmarkEnd w:id="115"/>
      <w:bookmarkEnd w:id="116"/>
      <w:bookmarkEnd w:id="117"/>
    </w:p>
    <w:tbl>
      <w:tblPr>
        <w:tblStyle w:val="33"/>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项目所在地</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发包人名称</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发包人地址</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发包人电话</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合同价格</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服务开始</w:t>
            </w:r>
            <w:r>
              <w:rPr>
                <w:rFonts w:hint="eastAsia" w:ascii="仿宋" w:hAnsi="仿宋" w:eastAsia="仿宋" w:cs="仿宋"/>
                <w:color w:val="auto"/>
                <w:sz w:val="24"/>
                <w:highlight w:val="none"/>
              </w:rPr>
              <w:t>日期</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服务完成</w:t>
            </w:r>
            <w:r>
              <w:rPr>
                <w:rFonts w:hint="eastAsia" w:ascii="仿宋" w:hAnsi="仿宋" w:eastAsia="仿宋" w:cs="仿宋"/>
                <w:color w:val="auto"/>
                <w:sz w:val="24"/>
                <w:highlight w:val="none"/>
              </w:rPr>
              <w:t>日期</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承担的工作</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项目负责人</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项目描述</w:t>
            </w:r>
          </w:p>
        </w:tc>
        <w:tc>
          <w:tcPr>
            <w:tcW w:w="7029" w:type="dxa"/>
            <w:vAlign w:val="center"/>
          </w:tcPr>
          <w:p>
            <w:pPr>
              <w:spacing w:line="360" w:lineRule="auto"/>
              <w:jc w:val="center"/>
              <w:rPr>
                <w:rFonts w:ascii="仿宋" w:hAnsi="仿宋" w:eastAsia="仿宋" w:cs="仿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610"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备注</w:t>
            </w:r>
          </w:p>
        </w:tc>
        <w:tc>
          <w:tcPr>
            <w:tcW w:w="7029" w:type="dxa"/>
            <w:vAlign w:val="center"/>
          </w:tcPr>
          <w:p>
            <w:pPr>
              <w:spacing w:line="360" w:lineRule="auto"/>
              <w:jc w:val="center"/>
              <w:rPr>
                <w:rFonts w:ascii="仿宋" w:hAnsi="仿宋" w:eastAsia="仿宋" w:cs="仿宋"/>
                <w:color w:val="auto"/>
                <w:sz w:val="24"/>
                <w:highlight w:val="none"/>
              </w:rPr>
            </w:pPr>
          </w:p>
        </w:tc>
      </w:tr>
    </w:tbl>
    <w:p>
      <w:pPr>
        <w:spacing w:line="360" w:lineRule="auto"/>
        <w:ind w:left="360"/>
        <w:rPr>
          <w:rFonts w:ascii="仿宋" w:hAnsi="仿宋" w:eastAsia="仿宋" w:cs="仿宋"/>
          <w:color w:val="auto"/>
          <w:szCs w:val="21"/>
          <w:highlight w:val="none"/>
        </w:rPr>
      </w:pPr>
      <w:r>
        <w:rPr>
          <w:rFonts w:hint="eastAsia" w:ascii="仿宋" w:hAnsi="仿宋" w:eastAsia="仿宋" w:cs="仿宋"/>
          <w:color w:val="auto"/>
          <w:szCs w:val="21"/>
          <w:highlight w:val="none"/>
        </w:rPr>
        <w:t>注：附合同复印件或扫描件。</w:t>
      </w:r>
    </w:p>
    <w:p>
      <w:pPr>
        <w:pStyle w:val="5"/>
        <w:spacing w:line="360" w:lineRule="auto"/>
        <w:jc w:val="center"/>
        <w:rPr>
          <w:rFonts w:ascii="仿宋" w:hAnsi="仿宋" w:eastAsia="仿宋" w:cs="仿宋"/>
          <w:b w:val="0"/>
          <w:bCs w:val="0"/>
          <w:color w:val="auto"/>
          <w:sz w:val="30"/>
          <w:szCs w:val="30"/>
          <w:highlight w:val="none"/>
        </w:rPr>
      </w:pPr>
      <w:bookmarkStart w:id="118" w:name="_Toc26081"/>
      <w:bookmarkStart w:id="119" w:name="_Toc323199460"/>
      <w:bookmarkStart w:id="120" w:name="_Toc346096050"/>
      <w:bookmarkStart w:id="121" w:name="_Toc5220"/>
      <w:bookmarkStart w:id="122" w:name="_Toc318464898"/>
      <w:bookmarkStart w:id="123" w:name="_Toc344409083"/>
      <w:bookmarkStart w:id="124" w:name="_Toc344409287"/>
      <w:bookmarkStart w:id="125" w:name="_Toc470118721"/>
      <w:bookmarkStart w:id="126" w:name="_Toc318464815"/>
    </w:p>
    <w:bookmarkEnd w:id="118"/>
    <w:bookmarkEnd w:id="119"/>
    <w:bookmarkEnd w:id="120"/>
    <w:bookmarkEnd w:id="121"/>
    <w:bookmarkEnd w:id="122"/>
    <w:bookmarkEnd w:id="123"/>
    <w:bookmarkEnd w:id="124"/>
    <w:bookmarkEnd w:id="125"/>
    <w:bookmarkEnd w:id="126"/>
    <w:p>
      <w:pPr>
        <w:pStyle w:val="49"/>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br w:type="page"/>
      </w:r>
      <w:bookmarkStart w:id="127" w:name="_Toc318464902"/>
      <w:bookmarkStart w:id="128" w:name="_Toc235725879"/>
      <w:bookmarkStart w:id="129" w:name="_Toc318464819"/>
      <w:bookmarkStart w:id="130" w:name="_Toc346096053"/>
      <w:bookmarkStart w:id="131" w:name="_Toc344409086"/>
      <w:bookmarkStart w:id="132" w:name="_Toc323199463"/>
      <w:bookmarkStart w:id="133" w:name="_Toc344409290"/>
    </w:p>
    <w:bookmarkEnd w:id="127"/>
    <w:bookmarkEnd w:id="128"/>
    <w:bookmarkEnd w:id="129"/>
    <w:bookmarkEnd w:id="130"/>
    <w:bookmarkEnd w:id="131"/>
    <w:bookmarkEnd w:id="132"/>
    <w:bookmarkEnd w:id="133"/>
    <w:p>
      <w:pPr>
        <w:spacing w:line="360" w:lineRule="auto"/>
        <w:jc w:val="center"/>
        <w:rPr>
          <w:rFonts w:ascii="仿宋" w:hAnsi="仿宋" w:eastAsia="仿宋" w:cs="仿宋"/>
          <w:b/>
          <w:color w:val="auto"/>
          <w:sz w:val="28"/>
          <w:szCs w:val="28"/>
          <w:highlight w:val="none"/>
        </w:rPr>
      </w:pPr>
      <w:bookmarkStart w:id="134" w:name="_Toc346096055"/>
      <w:bookmarkStart w:id="135" w:name="_Toc470118725"/>
      <w:bookmarkStart w:id="136" w:name="_Toc344409292"/>
      <w:bookmarkStart w:id="137" w:name="_Toc323199465"/>
      <w:bookmarkStart w:id="138" w:name="_Toc344409088"/>
      <w:r>
        <w:rPr>
          <w:rFonts w:hint="eastAsia" w:ascii="仿宋" w:hAnsi="仿宋" w:eastAsia="仿宋" w:cs="仿宋"/>
          <w:color w:val="auto"/>
          <w:sz w:val="32"/>
          <w:szCs w:val="32"/>
          <w:highlight w:val="none"/>
        </w:rPr>
        <w:t>七、</w:t>
      </w:r>
      <w:bookmarkEnd w:id="134"/>
      <w:bookmarkStart w:id="139" w:name="_Toc346096056"/>
      <w:r>
        <w:rPr>
          <w:rFonts w:hint="eastAsia" w:ascii="仿宋" w:hAnsi="仿宋" w:eastAsia="仿宋" w:cs="仿宋"/>
          <w:color w:val="auto"/>
          <w:sz w:val="32"/>
          <w:szCs w:val="32"/>
          <w:highlight w:val="none"/>
        </w:rPr>
        <w:t>比选文件及评选办法要求提供的其它资料</w:t>
      </w:r>
      <w:bookmarkEnd w:id="135"/>
      <w:bookmarkEnd w:id="139"/>
    </w:p>
    <w:p>
      <w:pPr>
        <w:spacing w:line="360" w:lineRule="auto"/>
        <w:rPr>
          <w:rFonts w:ascii="仿宋" w:hAnsi="仿宋" w:eastAsia="仿宋" w:cs="仿宋"/>
          <w:color w:val="auto"/>
          <w:kern w:val="28"/>
          <w:sz w:val="24"/>
          <w:highlight w:val="none"/>
        </w:rPr>
      </w:pPr>
    </w:p>
    <w:p>
      <w:pPr>
        <w:spacing w:line="360" w:lineRule="auto"/>
        <w:rPr>
          <w:rFonts w:ascii="仿宋" w:hAnsi="仿宋" w:eastAsia="仿宋" w:cs="仿宋"/>
          <w:color w:val="auto"/>
          <w:kern w:val="28"/>
          <w:sz w:val="24"/>
          <w:highlight w:val="none"/>
        </w:rPr>
      </w:pPr>
    </w:p>
    <w:p>
      <w:pPr>
        <w:spacing w:line="360" w:lineRule="auto"/>
        <w:rPr>
          <w:rFonts w:ascii="仿宋" w:hAnsi="仿宋" w:eastAsia="仿宋" w:cs="仿宋"/>
          <w:color w:val="auto"/>
          <w:kern w:val="28"/>
          <w:sz w:val="24"/>
          <w:highlight w:val="none"/>
        </w:rPr>
      </w:pPr>
      <w:r>
        <w:rPr>
          <w:rFonts w:hint="eastAsia" w:ascii="仿宋" w:hAnsi="仿宋" w:eastAsia="仿宋" w:cs="仿宋"/>
          <w:color w:val="auto"/>
          <w:kern w:val="28"/>
          <w:sz w:val="24"/>
          <w:highlight w:val="none"/>
        </w:rPr>
        <w:br w:type="page"/>
      </w:r>
    </w:p>
    <w:bookmarkEnd w:id="38"/>
    <w:bookmarkEnd w:id="39"/>
    <w:bookmarkEnd w:id="136"/>
    <w:bookmarkEnd w:id="137"/>
    <w:bookmarkEnd w:id="138"/>
    <w:p>
      <w:pPr>
        <w:pStyle w:val="3"/>
        <w:spacing w:line="360" w:lineRule="auto"/>
        <w:ind w:left="0" w:firstLine="0"/>
        <w:rPr>
          <w:rFonts w:ascii="仿宋" w:hAnsi="仿宋" w:eastAsia="仿宋" w:cs="仿宋"/>
          <w:color w:val="auto"/>
          <w:sz w:val="32"/>
          <w:szCs w:val="32"/>
          <w:highlight w:val="none"/>
        </w:rPr>
      </w:pPr>
      <w:bookmarkStart w:id="140" w:name="_Toc4597"/>
      <w:bookmarkStart w:id="141" w:name="_Toc346096057"/>
      <w:bookmarkStart w:id="142" w:name="_Toc5356"/>
      <w:r>
        <w:rPr>
          <w:rFonts w:hint="eastAsia" w:ascii="仿宋" w:hAnsi="仿宋" w:eastAsia="仿宋" w:cs="仿宋"/>
          <w:color w:val="auto"/>
          <w:sz w:val="32"/>
          <w:szCs w:val="32"/>
          <w:highlight w:val="none"/>
        </w:rPr>
        <w:t>第</w:t>
      </w:r>
      <w:bookmarkStart w:id="143" w:name="_Hlt28230060"/>
      <w:bookmarkEnd w:id="143"/>
      <w:r>
        <w:rPr>
          <w:rFonts w:hint="eastAsia" w:ascii="仿宋" w:hAnsi="仿宋" w:eastAsia="仿宋" w:cs="仿宋"/>
          <w:color w:val="auto"/>
          <w:sz w:val="32"/>
          <w:szCs w:val="32"/>
          <w:highlight w:val="none"/>
        </w:rPr>
        <w:t>五章  评选办法</w:t>
      </w:r>
      <w:bookmarkEnd w:id="140"/>
      <w:bookmarkEnd w:id="141"/>
      <w:bookmarkEnd w:id="142"/>
    </w:p>
    <w:p>
      <w:pPr>
        <w:pStyle w:val="4"/>
        <w:spacing w:before="0" w:after="0" w:line="360" w:lineRule="auto"/>
        <w:rPr>
          <w:rFonts w:ascii="仿宋" w:hAnsi="仿宋" w:eastAsia="仿宋" w:cs="仿宋"/>
          <w:b/>
          <w:color w:val="auto"/>
          <w:highlight w:val="none"/>
        </w:rPr>
      </w:pPr>
      <w:bookmarkStart w:id="144" w:name="_Toc10350"/>
      <w:bookmarkStart w:id="145" w:name="_Toc344409089"/>
      <w:bookmarkStart w:id="146" w:name="_Toc346096058"/>
      <w:bookmarkStart w:id="147" w:name="_Toc30825"/>
      <w:bookmarkStart w:id="148" w:name="_Toc21807"/>
      <w:bookmarkStart w:id="149" w:name="_Toc470118727"/>
      <w:bookmarkStart w:id="150" w:name="_Toc344409293"/>
      <w:r>
        <w:rPr>
          <w:rFonts w:hint="eastAsia" w:ascii="仿宋" w:hAnsi="仿宋" w:eastAsia="仿宋" w:cs="仿宋"/>
          <w:b/>
          <w:color w:val="auto"/>
          <w:sz w:val="21"/>
          <w:szCs w:val="21"/>
          <w:highlight w:val="none"/>
        </w:rPr>
        <w:t>一、评选办法总则</w:t>
      </w:r>
      <w:bookmarkEnd w:id="144"/>
      <w:bookmarkEnd w:id="145"/>
      <w:bookmarkEnd w:id="146"/>
      <w:bookmarkEnd w:id="147"/>
      <w:bookmarkEnd w:id="148"/>
      <w:bookmarkEnd w:id="149"/>
      <w:bookmarkEnd w:id="150"/>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第一条</w:t>
      </w:r>
      <w:r>
        <w:rPr>
          <w:rFonts w:hint="eastAsia" w:ascii="仿宋" w:hAnsi="仿宋" w:eastAsia="仿宋" w:cs="仿宋"/>
          <w:color w:val="auto"/>
          <w:highlight w:val="none"/>
        </w:rPr>
        <w:t xml:space="preserve">  本办法所称评选活动是指评选委员会根据比选文件规定的评选办法和标准对参选文件及有关情况进行系统地评审和比较，择优推荐中选候选人的活动。评选活动应遵循公平、公正、公开、科学、择优的原则。</w:t>
      </w:r>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第二条</w:t>
      </w:r>
      <w:r>
        <w:rPr>
          <w:rFonts w:hint="eastAsia" w:ascii="仿宋" w:hAnsi="仿宋" w:eastAsia="仿宋" w:cs="仿宋"/>
          <w:color w:val="auto"/>
          <w:highlight w:val="none"/>
        </w:rPr>
        <w:t xml:space="preserve">  评选活动在严格保密的情况下进行，评选活动及其当事人应当接受依法实施的监督。所有评委及监管人员均应保守秘密，不得透露任何评选细节，任何单位和个人不得非法干预或影响评选过程和结果。</w:t>
      </w:r>
    </w:p>
    <w:p>
      <w:pPr>
        <w:spacing w:line="360" w:lineRule="auto"/>
        <w:rPr>
          <w:rFonts w:hint="eastAsia" w:ascii="仿宋" w:hAnsi="仿宋" w:eastAsia="仿宋" w:cs="仿宋"/>
          <w:bCs/>
          <w:color w:val="auto"/>
          <w:highlight w:val="none"/>
          <w:lang w:val="en-US" w:eastAsia="zh-CN"/>
        </w:rPr>
      </w:pPr>
      <w:r>
        <w:rPr>
          <w:rFonts w:hint="eastAsia" w:ascii="仿宋" w:hAnsi="仿宋" w:eastAsia="仿宋" w:cs="仿宋"/>
          <w:b/>
          <w:color w:val="auto"/>
          <w:highlight w:val="none"/>
        </w:rPr>
        <w:t>第三条</w:t>
      </w:r>
      <w:r>
        <w:rPr>
          <w:rFonts w:hint="eastAsia" w:ascii="仿宋" w:hAnsi="仿宋" w:eastAsia="仿宋" w:cs="仿宋"/>
          <w:color w:val="auto"/>
          <w:highlight w:val="none"/>
        </w:rPr>
        <w:t xml:space="preserve">  本评选办法为</w:t>
      </w:r>
      <w:r>
        <w:rPr>
          <w:rFonts w:hint="eastAsia" w:ascii="仿宋" w:hAnsi="仿宋" w:eastAsia="仿宋" w:cs="仿宋"/>
          <w:bCs/>
          <w:color w:val="auto"/>
          <w:highlight w:val="none"/>
        </w:rPr>
        <w:t>竞争性比选</w:t>
      </w:r>
      <w:r>
        <w:rPr>
          <w:rFonts w:hint="eastAsia" w:ascii="仿宋" w:hAnsi="仿宋" w:eastAsia="仿宋" w:cs="仿宋"/>
          <w:bCs/>
          <w:color w:val="auto"/>
          <w:highlight w:val="none"/>
          <w:lang w:eastAsia="zh-CN"/>
        </w:rPr>
        <w:t>，</w:t>
      </w:r>
      <w:r>
        <w:rPr>
          <w:rFonts w:hint="eastAsia" w:ascii="仿宋" w:hAnsi="仿宋" w:eastAsia="仿宋" w:cs="仿宋"/>
          <w:bCs/>
          <w:color w:val="auto"/>
          <w:highlight w:val="none"/>
          <w:lang w:val="en-US" w:eastAsia="zh-CN"/>
        </w:rPr>
        <w:t>采取一次报价方式</w:t>
      </w:r>
      <w:r>
        <w:rPr>
          <w:rFonts w:hint="eastAsia" w:ascii="仿宋" w:hAnsi="仿宋" w:eastAsia="仿宋" w:cs="仿宋"/>
          <w:bCs/>
          <w:color w:val="auto"/>
          <w:highlight w:val="none"/>
          <w:lang w:eastAsia="zh-CN"/>
        </w:rPr>
        <w:t>。</w:t>
      </w:r>
      <w:r>
        <w:rPr>
          <w:rFonts w:hint="eastAsia" w:ascii="仿宋" w:hAnsi="仿宋" w:eastAsia="仿宋" w:cs="仿宋"/>
          <w:bCs/>
          <w:color w:val="auto"/>
          <w:highlight w:val="none"/>
          <w:lang w:val="en-US" w:eastAsia="zh-CN"/>
        </w:rPr>
        <w:t>比选人邀请申请人提交的比选文件内报价为最终报价，计入最终评分。</w:t>
      </w:r>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第四条</w:t>
      </w:r>
      <w:r>
        <w:rPr>
          <w:rFonts w:hint="eastAsia" w:ascii="仿宋" w:hAnsi="仿宋" w:eastAsia="仿宋" w:cs="仿宋"/>
          <w:color w:val="auto"/>
          <w:highlight w:val="none"/>
        </w:rPr>
        <w:t xml:space="preserve">  评选由比选人依法组建的评选委员会负责。</w:t>
      </w:r>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第五条</w:t>
      </w:r>
      <w:r>
        <w:rPr>
          <w:rFonts w:hint="eastAsia" w:ascii="仿宋" w:hAnsi="仿宋" w:eastAsia="仿宋" w:cs="仿宋"/>
          <w:color w:val="auto"/>
          <w:highlight w:val="none"/>
        </w:rPr>
        <w:t xml:space="preserve">  比选应在比选文件规定的参选截止的同一时间和地点进行，接受依法实施的监督。</w:t>
      </w:r>
    </w:p>
    <w:p>
      <w:pPr>
        <w:spacing w:line="360" w:lineRule="auto"/>
        <w:rPr>
          <w:rFonts w:ascii="仿宋" w:hAnsi="仿宋" w:eastAsia="仿宋" w:cs="仿宋"/>
          <w:color w:val="auto"/>
          <w:highlight w:val="none"/>
        </w:rPr>
      </w:pPr>
      <w:r>
        <w:rPr>
          <w:rFonts w:hint="eastAsia" w:ascii="仿宋" w:hAnsi="仿宋" w:eastAsia="仿宋" w:cs="仿宋"/>
          <w:b/>
          <w:color w:val="auto"/>
          <w:highlight w:val="none"/>
        </w:rPr>
        <w:t>第六条</w:t>
      </w:r>
      <w:r>
        <w:rPr>
          <w:rFonts w:hint="eastAsia" w:ascii="仿宋" w:hAnsi="仿宋" w:eastAsia="仿宋" w:cs="仿宋"/>
          <w:color w:val="auto"/>
          <w:highlight w:val="none"/>
        </w:rPr>
        <w:t xml:space="preserve">  评选程序分为资格后审、评选准备、初步评审、详细评审、推荐中选候选人。评选由评选委员会独立完成。</w:t>
      </w:r>
    </w:p>
    <w:p>
      <w:pPr>
        <w:spacing w:line="360" w:lineRule="auto"/>
        <w:ind w:firstLine="411" w:firstLineChars="196"/>
        <w:rPr>
          <w:rFonts w:ascii="仿宋" w:hAnsi="仿宋" w:eastAsia="仿宋" w:cs="仿宋"/>
          <w:color w:val="auto"/>
          <w:highlight w:val="none"/>
        </w:rPr>
      </w:pPr>
    </w:p>
    <w:p>
      <w:pPr>
        <w:spacing w:line="360" w:lineRule="auto"/>
        <w:ind w:firstLine="411" w:firstLineChars="196"/>
        <w:rPr>
          <w:rFonts w:ascii="仿宋" w:hAnsi="仿宋" w:eastAsia="仿宋" w:cs="仿宋"/>
          <w:color w:val="auto"/>
          <w:highlight w:val="none"/>
        </w:rPr>
      </w:pPr>
    </w:p>
    <w:p>
      <w:pPr>
        <w:spacing w:line="360" w:lineRule="auto"/>
        <w:ind w:firstLine="411" w:firstLineChars="196"/>
        <w:rPr>
          <w:rFonts w:ascii="仿宋" w:hAnsi="仿宋" w:eastAsia="仿宋" w:cs="仿宋"/>
          <w:color w:val="auto"/>
          <w:highlight w:val="none"/>
        </w:rPr>
      </w:pPr>
    </w:p>
    <w:p>
      <w:pPr>
        <w:spacing w:line="360" w:lineRule="auto"/>
        <w:ind w:firstLine="411" w:firstLineChars="196"/>
        <w:rPr>
          <w:rFonts w:ascii="仿宋" w:hAnsi="仿宋" w:eastAsia="仿宋" w:cs="仿宋"/>
          <w:color w:val="auto"/>
          <w:highlight w:val="none"/>
        </w:rPr>
        <w:sectPr>
          <w:footerReference r:id="rId9" w:type="first"/>
          <w:footerReference r:id="rId8" w:type="default"/>
          <w:pgSz w:w="11906" w:h="16838"/>
          <w:pgMar w:top="1418" w:right="1418" w:bottom="1474" w:left="1418" w:header="851" w:footer="992" w:gutter="0"/>
          <w:pgNumType w:start="1"/>
          <w:cols w:space="720" w:num="1"/>
          <w:titlePg/>
          <w:docGrid w:type="linesAndChars" w:linePitch="312" w:charSpace="0"/>
        </w:sectPr>
      </w:pPr>
    </w:p>
    <w:p>
      <w:pPr>
        <w:spacing w:line="360" w:lineRule="auto"/>
        <w:ind w:firstLine="411" w:firstLineChars="196"/>
        <w:rPr>
          <w:rFonts w:ascii="仿宋" w:hAnsi="仿宋" w:eastAsia="仿宋" w:cs="仿宋"/>
          <w:color w:val="auto"/>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bCs/>
          <w:color w:val="auto"/>
          <w:sz w:val="24"/>
          <w:highlight w:val="none"/>
        </w:rPr>
        <w:t>附表1.  资格后审表</w:t>
      </w:r>
    </w:p>
    <w:tbl>
      <w:tblPr>
        <w:tblStyle w:val="33"/>
        <w:tblpPr w:leftFromText="180" w:rightFromText="180" w:vertAnchor="text" w:horzAnchor="margin" w:tblpXSpec="center" w:tblpY="316"/>
        <w:tblW w:w="124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1896"/>
        <w:gridCol w:w="3243"/>
        <w:gridCol w:w="3243"/>
        <w:gridCol w:w="3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trPr>
        <w:tc>
          <w:tcPr>
            <w:tcW w:w="794" w:type="dxa"/>
            <w:vMerge w:val="restart"/>
            <w:vAlign w:val="center"/>
          </w:tcPr>
          <w:p>
            <w:pPr>
              <w:spacing w:line="360" w:lineRule="auto"/>
              <w:ind w:right="72"/>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w:t>
            </w:r>
          </w:p>
          <w:p>
            <w:pPr>
              <w:spacing w:line="360" w:lineRule="auto"/>
              <w:ind w:right="72"/>
              <w:jc w:val="center"/>
              <w:rPr>
                <w:rFonts w:ascii="仿宋" w:hAnsi="仿宋" w:eastAsia="仿宋" w:cs="仿宋"/>
                <w:color w:val="auto"/>
                <w:szCs w:val="21"/>
                <w:highlight w:val="none"/>
              </w:rPr>
            </w:pPr>
            <w:r>
              <w:rPr>
                <w:rFonts w:hint="eastAsia" w:ascii="仿宋" w:hAnsi="仿宋" w:eastAsia="仿宋" w:cs="仿宋"/>
                <w:color w:val="auto"/>
                <w:szCs w:val="21"/>
                <w:highlight w:val="none"/>
              </w:rPr>
              <w:t>号</w:t>
            </w:r>
          </w:p>
        </w:tc>
        <w:tc>
          <w:tcPr>
            <w:tcW w:w="1896" w:type="dxa"/>
            <w:vMerge w:val="restart"/>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比选申请人名称</w:t>
            </w:r>
          </w:p>
        </w:tc>
        <w:tc>
          <w:tcPr>
            <w:tcW w:w="9730" w:type="dxa"/>
            <w:gridSpan w:val="3"/>
            <w:tcBorders>
              <w:bottom w:val="single" w:color="auto" w:sz="4" w:space="0"/>
            </w:tcBorders>
            <w:vAlign w:val="center"/>
          </w:tcPr>
          <w:p>
            <w:pPr>
              <w:ind w:left="-105" w:leftChars="-50"/>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资格后审内容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794" w:type="dxa"/>
            <w:vMerge w:val="continue"/>
            <w:vAlign w:val="center"/>
          </w:tcPr>
          <w:p>
            <w:pPr>
              <w:spacing w:line="360" w:lineRule="auto"/>
              <w:ind w:right="480"/>
              <w:jc w:val="center"/>
              <w:rPr>
                <w:rFonts w:ascii="仿宋" w:hAnsi="仿宋" w:eastAsia="仿宋" w:cs="仿宋"/>
                <w:color w:val="auto"/>
                <w:szCs w:val="21"/>
                <w:highlight w:val="none"/>
              </w:rPr>
            </w:pPr>
          </w:p>
        </w:tc>
        <w:tc>
          <w:tcPr>
            <w:tcW w:w="1896" w:type="dxa"/>
            <w:vMerge w:val="continue"/>
            <w:vAlign w:val="center"/>
          </w:tcPr>
          <w:p>
            <w:pPr>
              <w:spacing w:line="360" w:lineRule="auto"/>
              <w:ind w:right="480"/>
              <w:jc w:val="center"/>
              <w:rPr>
                <w:rFonts w:ascii="仿宋" w:hAnsi="仿宋" w:eastAsia="仿宋" w:cs="仿宋"/>
                <w:color w:val="auto"/>
                <w:szCs w:val="21"/>
                <w:highlight w:val="none"/>
              </w:rPr>
            </w:pPr>
          </w:p>
        </w:tc>
        <w:tc>
          <w:tcPr>
            <w:tcW w:w="9730" w:type="dxa"/>
            <w:gridSpan w:val="3"/>
            <w:tcBorders>
              <w:top w:val="single" w:color="auto" w:sz="4" w:space="0"/>
            </w:tcBorders>
            <w:vAlign w:val="center"/>
          </w:tcPr>
          <w:p>
            <w:pPr>
              <w:widowControl/>
              <w:ind w:left="-105" w:leftChars="-50"/>
              <w:jc w:val="center"/>
              <w:rPr>
                <w:rFonts w:hint="eastAsia" w:ascii="仿宋" w:hAnsi="仿宋" w:eastAsia="仿宋" w:cs="仿宋"/>
                <w:color w:val="auto"/>
                <w:szCs w:val="21"/>
                <w:highlight w:val="none"/>
                <w:lang w:val="en-US" w:eastAsia="zh-CN"/>
              </w:rPr>
            </w:pPr>
            <w:r>
              <w:rPr>
                <w:rFonts w:hint="eastAsia" w:ascii="仿宋" w:hAnsi="仿宋" w:eastAsia="仿宋" w:cs="仿宋"/>
                <w:szCs w:val="21"/>
                <w:highlight w:val="none"/>
              </w:rPr>
              <w:t>具有独立法人资格并依法取得企业营业执照，营业执照处于有效期，营业执照的经营范围应满足承接本项目业务的要求</w:t>
            </w:r>
            <w:r>
              <w:rPr>
                <w:rFonts w:hint="eastAsia" w:ascii="仿宋" w:hAnsi="仿宋" w:eastAsia="仿宋" w:cs="仿宋"/>
                <w:szCs w:val="21"/>
                <w:highlight w:val="none"/>
                <w:lang w:eastAsia="zh-CN"/>
              </w:rPr>
              <w:t>、</w:t>
            </w:r>
            <w:r>
              <w:rPr>
                <w:rFonts w:hint="eastAsia" w:ascii="仿宋" w:hAnsi="仿宋" w:eastAsia="仿宋" w:cs="仿宋"/>
                <w:color w:val="auto"/>
                <w:szCs w:val="21"/>
                <w:highlight w:val="none"/>
                <w:lang w:eastAsia="zh-CN"/>
              </w:rPr>
              <w:t>近三年具有一个</w:t>
            </w:r>
            <w:r>
              <w:rPr>
                <w:rFonts w:hint="eastAsia" w:ascii="仿宋" w:hAnsi="仿宋" w:eastAsia="仿宋" w:cs="仿宋"/>
                <w:color w:val="auto"/>
                <w:szCs w:val="21"/>
                <w:highlight w:val="none"/>
                <w:lang w:val="en-US" w:eastAsia="zh-CN"/>
              </w:rPr>
              <w:t>艺术装置施工类似业绩</w:t>
            </w:r>
            <w:r>
              <w:rPr>
                <w:rFonts w:hint="eastAsia" w:ascii="仿宋" w:hAnsi="仿宋" w:eastAsia="仿宋" w:cs="仿宋"/>
                <w:szCs w:val="21"/>
                <w:highlight w:val="none"/>
              </w:rPr>
              <w:t>（提供合同复印件）</w:t>
            </w:r>
            <w:r>
              <w:rPr>
                <w:rFonts w:hint="eastAsia" w:ascii="仿宋" w:hAnsi="仿宋" w:eastAsia="仿宋" w:cs="仿宋"/>
                <w:szCs w:val="21"/>
                <w:highlight w:val="none"/>
                <w:lang w:eastAsia="zh-CN"/>
              </w:rPr>
              <w:t>、</w:t>
            </w:r>
            <w:r>
              <w:rPr>
                <w:rFonts w:hint="eastAsia" w:ascii="仿宋" w:hAnsi="仿宋" w:eastAsia="仿宋" w:cs="仿宋"/>
                <w:szCs w:val="21"/>
                <w:highlight w:val="none"/>
              </w:rPr>
              <w:t>本项目不接受联合体参加比选</w:t>
            </w:r>
            <w:r>
              <w:rPr>
                <w:rFonts w:hint="eastAsia" w:ascii="仿宋" w:hAnsi="仿宋" w:eastAsia="仿宋" w:cs="仿宋"/>
                <w:szCs w:val="21"/>
                <w:highlight w:val="none"/>
                <w:lang w:eastAsia="zh-CN"/>
              </w:rPr>
              <w:t>、</w:t>
            </w:r>
            <w:r>
              <w:rPr>
                <w:rFonts w:hint="eastAsia" w:ascii="仿宋" w:hAnsi="仿宋" w:eastAsia="仿宋" w:cs="仿宋"/>
                <w:szCs w:val="21"/>
                <w:highlight w:val="none"/>
              </w:rPr>
              <w:t>须确保没有处于被责令停业或破产的状态。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794"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896"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ind w:right="480"/>
              <w:jc w:val="center"/>
              <w:rPr>
                <w:rFonts w:ascii="仿宋" w:hAnsi="仿宋" w:eastAsia="仿宋" w:cs="仿宋"/>
                <w:color w:val="auto"/>
                <w:szCs w:val="21"/>
                <w:highlight w:val="none"/>
              </w:rPr>
            </w:pPr>
          </w:p>
        </w:tc>
        <w:tc>
          <w:tcPr>
            <w:tcW w:w="3244" w:type="dxa"/>
            <w:vAlign w:val="center"/>
          </w:tcPr>
          <w:p>
            <w:pPr>
              <w:spacing w:line="360" w:lineRule="auto"/>
              <w:ind w:right="480"/>
              <w:jc w:val="center"/>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794"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896"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ind w:right="480"/>
              <w:jc w:val="center"/>
              <w:rPr>
                <w:rFonts w:ascii="仿宋" w:hAnsi="仿宋" w:eastAsia="仿宋" w:cs="仿宋"/>
                <w:color w:val="auto"/>
                <w:szCs w:val="21"/>
                <w:highlight w:val="none"/>
              </w:rPr>
            </w:pPr>
          </w:p>
        </w:tc>
        <w:tc>
          <w:tcPr>
            <w:tcW w:w="3244" w:type="dxa"/>
            <w:vAlign w:val="center"/>
          </w:tcPr>
          <w:p>
            <w:pPr>
              <w:spacing w:line="360" w:lineRule="auto"/>
              <w:ind w:right="480"/>
              <w:jc w:val="center"/>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794"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1896"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ind w:right="480"/>
              <w:jc w:val="center"/>
              <w:rPr>
                <w:rFonts w:ascii="仿宋" w:hAnsi="仿宋" w:eastAsia="仿宋" w:cs="仿宋"/>
                <w:color w:val="auto"/>
                <w:szCs w:val="21"/>
                <w:highlight w:val="none"/>
              </w:rPr>
            </w:pPr>
          </w:p>
        </w:tc>
        <w:tc>
          <w:tcPr>
            <w:tcW w:w="3244" w:type="dxa"/>
            <w:vAlign w:val="center"/>
          </w:tcPr>
          <w:p>
            <w:pPr>
              <w:spacing w:line="360" w:lineRule="auto"/>
              <w:ind w:right="480"/>
              <w:jc w:val="center"/>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794"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1896"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ind w:right="480"/>
              <w:jc w:val="center"/>
              <w:rPr>
                <w:rFonts w:ascii="仿宋" w:hAnsi="仿宋" w:eastAsia="仿宋" w:cs="仿宋"/>
                <w:color w:val="auto"/>
                <w:szCs w:val="21"/>
                <w:highlight w:val="none"/>
              </w:rPr>
            </w:pPr>
          </w:p>
        </w:tc>
        <w:tc>
          <w:tcPr>
            <w:tcW w:w="3244" w:type="dxa"/>
            <w:vAlign w:val="center"/>
          </w:tcPr>
          <w:p>
            <w:pPr>
              <w:spacing w:line="360" w:lineRule="auto"/>
              <w:ind w:right="480"/>
              <w:jc w:val="center"/>
              <w:rPr>
                <w:rFonts w:ascii="仿宋" w:hAnsi="仿宋" w:eastAsia="仿宋" w:cs="仿宋"/>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794" w:type="dxa"/>
            <w:vAlign w:val="center"/>
          </w:tcPr>
          <w:p>
            <w:pPr>
              <w:spacing w:line="360" w:lineRule="auto"/>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896"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jc w:val="center"/>
              <w:rPr>
                <w:rFonts w:ascii="仿宋" w:hAnsi="仿宋" w:eastAsia="仿宋" w:cs="仿宋"/>
                <w:color w:val="auto"/>
                <w:szCs w:val="21"/>
                <w:highlight w:val="none"/>
              </w:rPr>
            </w:pPr>
          </w:p>
        </w:tc>
        <w:tc>
          <w:tcPr>
            <w:tcW w:w="3243" w:type="dxa"/>
            <w:vAlign w:val="center"/>
          </w:tcPr>
          <w:p>
            <w:pPr>
              <w:spacing w:line="360" w:lineRule="auto"/>
              <w:ind w:right="480"/>
              <w:jc w:val="center"/>
              <w:rPr>
                <w:rFonts w:ascii="仿宋" w:hAnsi="仿宋" w:eastAsia="仿宋" w:cs="仿宋"/>
                <w:color w:val="auto"/>
                <w:szCs w:val="21"/>
                <w:highlight w:val="none"/>
              </w:rPr>
            </w:pPr>
          </w:p>
        </w:tc>
        <w:tc>
          <w:tcPr>
            <w:tcW w:w="3244" w:type="dxa"/>
            <w:vAlign w:val="center"/>
          </w:tcPr>
          <w:p>
            <w:pPr>
              <w:spacing w:line="360" w:lineRule="auto"/>
              <w:ind w:right="480"/>
              <w:jc w:val="center"/>
              <w:rPr>
                <w:rFonts w:ascii="仿宋" w:hAnsi="仿宋" w:eastAsia="仿宋" w:cs="仿宋"/>
                <w:color w:val="auto"/>
                <w:szCs w:val="21"/>
                <w:highlight w:val="none"/>
              </w:rPr>
            </w:pPr>
          </w:p>
        </w:tc>
      </w:tr>
    </w:tbl>
    <w:p>
      <w:pPr>
        <w:snapToGrid w:val="0"/>
        <w:spacing w:line="360" w:lineRule="auto"/>
        <w:jc w:val="center"/>
        <w:rPr>
          <w:rFonts w:ascii="仿宋" w:hAnsi="仿宋" w:eastAsia="仿宋" w:cs="仿宋"/>
          <w:b/>
          <w:color w:val="auto"/>
          <w:szCs w:val="21"/>
          <w:highlight w:val="none"/>
        </w:rPr>
      </w:pPr>
    </w:p>
    <w:p>
      <w:pPr>
        <w:spacing w:line="360" w:lineRule="auto"/>
        <w:ind w:firstLine="514" w:firstLineChars="245"/>
        <w:rPr>
          <w:rFonts w:ascii="仿宋" w:hAnsi="仿宋" w:eastAsia="仿宋" w:cs="仿宋"/>
          <w:color w:val="auto"/>
          <w:highlight w:val="none"/>
        </w:rPr>
      </w:pPr>
      <w:r>
        <w:rPr>
          <w:rFonts w:hint="eastAsia" w:ascii="仿宋" w:hAnsi="仿宋" w:eastAsia="仿宋" w:cs="仿宋"/>
          <w:color w:val="auto"/>
          <w:highlight w:val="none"/>
        </w:rPr>
        <w:t>注：以上材料须在参选文件中附其复印件或扫描件并加盖比选申请人公章。</w:t>
      </w:r>
    </w:p>
    <w:p>
      <w:pPr>
        <w:snapToGrid w:val="0"/>
        <w:spacing w:line="360" w:lineRule="auto"/>
        <w:ind w:firstLine="3168" w:firstLineChars="1509"/>
        <w:jc w:val="left"/>
        <w:rPr>
          <w:rFonts w:ascii="仿宋" w:hAnsi="仿宋" w:eastAsia="仿宋" w:cs="仿宋"/>
          <w:b/>
          <w:color w:val="auto"/>
          <w:szCs w:val="21"/>
          <w:highlight w:val="none"/>
        </w:rPr>
        <w:sectPr>
          <w:footerReference r:id="rId10" w:type="default"/>
          <w:pgSz w:w="16838" w:h="11906" w:orient="landscape"/>
          <w:pgMar w:top="1418" w:right="1418" w:bottom="1418" w:left="1474" w:header="851" w:footer="992" w:gutter="0"/>
          <w:cols w:space="720" w:num="1"/>
          <w:titlePg/>
          <w:docGrid w:type="linesAndChars" w:linePitch="312" w:charSpace="0"/>
        </w:sectPr>
      </w:pPr>
    </w:p>
    <w:p>
      <w:pPr>
        <w:snapToGrid w:val="0"/>
        <w:spacing w:line="360" w:lineRule="auto"/>
        <w:jc w:val="left"/>
        <w:rPr>
          <w:rFonts w:ascii="仿宋" w:hAnsi="仿宋" w:eastAsia="仿宋" w:cs="仿宋"/>
          <w:b/>
          <w:color w:val="auto"/>
          <w:szCs w:val="21"/>
          <w:highlight w:val="none"/>
        </w:rPr>
      </w:pPr>
    </w:p>
    <w:p>
      <w:pPr>
        <w:snapToGri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附表2.   初步审查表</w:t>
      </w:r>
    </w:p>
    <w:tbl>
      <w:tblPr>
        <w:tblStyle w:val="33"/>
        <w:tblW w:w="93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1"/>
        <w:gridCol w:w="2680"/>
        <w:gridCol w:w="4540"/>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序号</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评审项目</w:t>
            </w:r>
          </w:p>
        </w:tc>
        <w:tc>
          <w:tcPr>
            <w:tcW w:w="454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内容</w:t>
            </w:r>
          </w:p>
        </w:tc>
        <w:tc>
          <w:tcPr>
            <w:tcW w:w="139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sz w:val="18"/>
                <w:szCs w:val="18"/>
                <w:highlight w:val="none"/>
              </w:rPr>
              <w:t>合格或不合格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1</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参选函的签字（章）和盖章</w:t>
            </w:r>
          </w:p>
        </w:tc>
        <w:tc>
          <w:tcPr>
            <w:tcW w:w="454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是否无单位盖章或无法定代表人签字（或盖章）或无法定代表人授权的代理人签字的</w:t>
            </w:r>
          </w:p>
        </w:tc>
        <w:tc>
          <w:tcPr>
            <w:tcW w:w="1390" w:type="dxa"/>
            <w:vAlign w:val="center"/>
          </w:tcPr>
          <w:p>
            <w:pPr>
              <w:spacing w:line="360" w:lineRule="auto"/>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2</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参选文件编制内容</w:t>
            </w:r>
          </w:p>
        </w:tc>
        <w:tc>
          <w:tcPr>
            <w:tcW w:w="454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是否未按规定的格式填写或内容不全或关键字迹模糊、无法辨认的</w:t>
            </w:r>
          </w:p>
        </w:tc>
        <w:tc>
          <w:tcPr>
            <w:tcW w:w="1390" w:type="dxa"/>
            <w:vAlign w:val="center"/>
          </w:tcPr>
          <w:p>
            <w:pPr>
              <w:spacing w:line="360" w:lineRule="auto"/>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3</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参选文件的一致性</w:t>
            </w:r>
          </w:p>
        </w:tc>
        <w:tc>
          <w:tcPr>
            <w:tcW w:w="454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比选申请人是否递交两份或多份内容不同的参选文件，或在一份参选文件中对同一比选项目报有两个或多个报价，且未声明哪一个有效的</w:t>
            </w:r>
          </w:p>
        </w:tc>
        <w:tc>
          <w:tcPr>
            <w:tcW w:w="1390" w:type="dxa"/>
            <w:vAlign w:val="center"/>
          </w:tcPr>
          <w:p>
            <w:pPr>
              <w:spacing w:line="360" w:lineRule="auto"/>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4</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参选报价的有效性</w:t>
            </w:r>
          </w:p>
        </w:tc>
        <w:tc>
          <w:tcPr>
            <w:tcW w:w="454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参选报价是否超出比选控制价的</w:t>
            </w:r>
          </w:p>
        </w:tc>
        <w:tc>
          <w:tcPr>
            <w:tcW w:w="1390" w:type="dxa"/>
            <w:vAlign w:val="center"/>
          </w:tcPr>
          <w:p>
            <w:pPr>
              <w:spacing w:line="360" w:lineRule="auto"/>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741"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5</w:t>
            </w:r>
          </w:p>
        </w:tc>
        <w:tc>
          <w:tcPr>
            <w:tcW w:w="2680" w:type="dxa"/>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对比选文件的实质性响应</w:t>
            </w:r>
          </w:p>
        </w:tc>
        <w:tc>
          <w:tcPr>
            <w:tcW w:w="4540" w:type="dxa"/>
            <w:vAlign w:val="center"/>
          </w:tcPr>
          <w:p>
            <w:pPr>
              <w:spacing w:line="360" w:lineRule="auto"/>
              <w:rPr>
                <w:rFonts w:ascii="仿宋" w:hAnsi="仿宋" w:eastAsia="仿宋" w:cs="仿宋"/>
                <w:color w:val="auto"/>
                <w:highlight w:val="none"/>
              </w:rPr>
            </w:pPr>
            <w:r>
              <w:rPr>
                <w:rFonts w:hint="eastAsia" w:ascii="仿宋" w:hAnsi="仿宋" w:eastAsia="仿宋" w:cs="仿宋"/>
                <w:color w:val="auto"/>
                <w:highlight w:val="none"/>
              </w:rPr>
              <w:t>参选文件是否有实质性不响应或负偏离的</w:t>
            </w:r>
          </w:p>
        </w:tc>
        <w:tc>
          <w:tcPr>
            <w:tcW w:w="1390" w:type="dxa"/>
            <w:vAlign w:val="center"/>
          </w:tcPr>
          <w:p>
            <w:pPr>
              <w:spacing w:line="360" w:lineRule="auto"/>
              <w:rPr>
                <w:rFonts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trPr>
        <w:tc>
          <w:tcPr>
            <w:tcW w:w="3421" w:type="dxa"/>
            <w:gridSpan w:val="2"/>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结果</w:t>
            </w:r>
          </w:p>
        </w:tc>
        <w:tc>
          <w:tcPr>
            <w:tcW w:w="5930" w:type="dxa"/>
            <w:gridSpan w:val="2"/>
            <w:vAlign w:val="center"/>
          </w:tcPr>
          <w:p>
            <w:pPr>
              <w:spacing w:line="360" w:lineRule="auto"/>
              <w:jc w:val="center"/>
              <w:rPr>
                <w:rFonts w:ascii="仿宋" w:hAnsi="仿宋" w:eastAsia="仿宋" w:cs="仿宋"/>
                <w:color w:val="auto"/>
                <w:highlight w:val="none"/>
              </w:rPr>
            </w:pPr>
            <w:r>
              <w:rPr>
                <w:rFonts w:hint="eastAsia" w:ascii="仿宋" w:hAnsi="仿宋" w:eastAsia="仿宋" w:cs="仿宋"/>
                <w:color w:val="auto"/>
                <w:highlight w:val="none"/>
              </w:rPr>
              <w:t>合格或不合格</w:t>
            </w:r>
          </w:p>
        </w:tc>
      </w:tr>
    </w:tbl>
    <w:p>
      <w:pPr>
        <w:pStyle w:val="29"/>
        <w:spacing w:before="0" w:after="0" w:line="360" w:lineRule="auto"/>
        <w:rPr>
          <w:rFonts w:ascii="仿宋" w:hAnsi="仿宋" w:eastAsia="仿宋" w:cs="仿宋"/>
          <w:color w:val="auto"/>
          <w:kern w:val="2"/>
          <w:sz w:val="21"/>
          <w:highlight w:val="none"/>
        </w:rPr>
      </w:pPr>
      <w:r>
        <w:rPr>
          <w:rFonts w:hint="eastAsia" w:ascii="仿宋" w:hAnsi="仿宋" w:eastAsia="仿宋" w:cs="仿宋"/>
          <w:color w:val="auto"/>
          <w:kern w:val="2"/>
          <w:sz w:val="21"/>
          <w:highlight w:val="none"/>
        </w:rPr>
        <w:t>注：本表中如有一项不合格，则视为不合格比选申请人。</w:t>
      </w:r>
      <w:bookmarkStart w:id="151" w:name="_Toc344409090"/>
      <w:bookmarkStart w:id="152" w:name="_Toc346096059"/>
      <w:bookmarkStart w:id="153" w:name="_Toc344409294"/>
    </w:p>
    <w:p>
      <w:pPr>
        <w:pStyle w:val="29"/>
        <w:spacing w:before="0" w:after="0" w:line="360" w:lineRule="auto"/>
        <w:rPr>
          <w:rFonts w:ascii="仿宋" w:hAnsi="仿宋" w:eastAsia="仿宋" w:cs="仿宋"/>
          <w:b/>
          <w:color w:val="auto"/>
          <w:sz w:val="21"/>
          <w:szCs w:val="21"/>
          <w:highlight w:val="none"/>
        </w:rPr>
      </w:pPr>
      <w:bookmarkStart w:id="154" w:name="_Toc470118728"/>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p>
      <w:pPr>
        <w:pStyle w:val="29"/>
        <w:spacing w:before="0" w:after="0" w:line="360" w:lineRule="auto"/>
        <w:rPr>
          <w:rFonts w:ascii="仿宋" w:hAnsi="仿宋" w:eastAsia="仿宋" w:cs="仿宋"/>
          <w:b/>
          <w:color w:val="auto"/>
          <w:sz w:val="21"/>
          <w:szCs w:val="21"/>
          <w:highlight w:val="none"/>
        </w:rPr>
      </w:pPr>
    </w:p>
    <w:bookmarkEnd w:id="151"/>
    <w:bookmarkEnd w:id="152"/>
    <w:bookmarkEnd w:id="153"/>
    <w:bookmarkEnd w:id="154"/>
    <w:p>
      <w:pPr>
        <w:autoSpaceDE w:val="0"/>
        <w:autoSpaceDN w:val="0"/>
        <w:adjustRightIn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附表3</w:t>
      </w:r>
    </w:p>
    <w:p>
      <w:pPr>
        <w:jc w:val="center"/>
        <w:rPr>
          <w:rFonts w:ascii="仿宋" w:hAnsi="仿宋" w:eastAsia="仿宋" w:cs="仿宋"/>
          <w:b/>
          <w:color w:val="auto"/>
          <w:szCs w:val="21"/>
          <w:highlight w:val="none"/>
        </w:rPr>
      </w:pPr>
      <w:r>
        <w:rPr>
          <w:rFonts w:hint="eastAsia" w:ascii="仿宋" w:hAnsi="仿宋" w:eastAsia="仿宋" w:cs="仿宋"/>
          <w:b/>
          <w:color w:val="auto"/>
          <w:sz w:val="28"/>
          <w:szCs w:val="28"/>
          <w:highlight w:val="none"/>
        </w:rPr>
        <w:t>不合格比选申请人名单表（废标情况说明）</w:t>
      </w:r>
    </w:p>
    <w:p>
      <w:pPr>
        <w:jc w:val="center"/>
        <w:rPr>
          <w:rFonts w:ascii="仿宋" w:hAnsi="仿宋" w:eastAsia="仿宋" w:cs="仿宋"/>
          <w:b/>
          <w:color w:val="auto"/>
          <w:szCs w:val="21"/>
          <w:highlight w:val="none"/>
        </w:rPr>
      </w:pPr>
    </w:p>
    <w:tbl>
      <w:tblPr>
        <w:tblStyle w:val="33"/>
        <w:tblW w:w="844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4050"/>
        <w:gridCol w:w="36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20"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4050"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比选申请人</w:t>
            </w:r>
          </w:p>
        </w:tc>
        <w:tc>
          <w:tcPr>
            <w:tcW w:w="3672" w:type="dxa"/>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不合格原因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40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c>
          <w:tcPr>
            <w:tcW w:w="3672"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40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c>
          <w:tcPr>
            <w:tcW w:w="3672"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20" w:type="dxa"/>
            <w:tcBorders>
              <w:top w:val="single" w:color="auto" w:sz="4" w:space="0"/>
              <w:left w:val="single" w:color="auto" w:sz="12" w:space="0"/>
              <w:bottom w:val="single" w:color="auto" w:sz="12" w:space="0"/>
              <w:right w:val="single" w:color="auto" w:sz="4" w:space="0"/>
            </w:tcBorders>
            <w:vAlign w:val="center"/>
          </w:tcPr>
          <w:p>
            <w:pPr>
              <w:jc w:val="center"/>
              <w:rPr>
                <w:rFonts w:ascii="仿宋" w:hAnsi="仿宋" w:eastAsia="仿宋" w:cs="仿宋"/>
                <w:color w:val="auto"/>
                <w:szCs w:val="21"/>
                <w:highlight w:val="none"/>
              </w:rPr>
            </w:pPr>
          </w:p>
        </w:tc>
        <w:tc>
          <w:tcPr>
            <w:tcW w:w="4050" w:type="dxa"/>
            <w:tcBorders>
              <w:top w:val="single" w:color="auto" w:sz="4" w:space="0"/>
              <w:left w:val="single" w:color="auto" w:sz="4" w:space="0"/>
              <w:bottom w:val="single" w:color="auto" w:sz="12" w:space="0"/>
              <w:right w:val="single" w:color="auto" w:sz="4" w:space="0"/>
            </w:tcBorders>
            <w:vAlign w:val="center"/>
          </w:tcPr>
          <w:p>
            <w:pPr>
              <w:jc w:val="center"/>
              <w:rPr>
                <w:rFonts w:ascii="仿宋" w:hAnsi="仿宋" w:eastAsia="仿宋" w:cs="仿宋"/>
                <w:color w:val="auto"/>
                <w:szCs w:val="21"/>
                <w:highlight w:val="none"/>
              </w:rPr>
            </w:pPr>
          </w:p>
        </w:tc>
        <w:tc>
          <w:tcPr>
            <w:tcW w:w="3672" w:type="dxa"/>
            <w:tcBorders>
              <w:top w:val="single" w:color="auto" w:sz="4" w:space="0"/>
              <w:left w:val="single" w:color="auto" w:sz="4" w:space="0"/>
              <w:bottom w:val="single" w:color="auto" w:sz="12" w:space="0"/>
              <w:right w:val="single" w:color="auto" w:sz="12" w:space="0"/>
            </w:tcBorders>
            <w:vAlign w:val="center"/>
          </w:tcPr>
          <w:p>
            <w:pPr>
              <w:jc w:val="center"/>
              <w:rPr>
                <w:rFonts w:ascii="仿宋" w:hAnsi="仿宋" w:eastAsia="仿宋" w:cs="仿宋"/>
                <w:color w:val="auto"/>
                <w:szCs w:val="21"/>
                <w:highlight w:val="none"/>
              </w:rPr>
            </w:pPr>
          </w:p>
        </w:tc>
      </w:tr>
    </w:tbl>
    <w:p>
      <w:pPr>
        <w:pStyle w:val="29"/>
        <w:spacing w:before="0" w:beforeAutospacing="0" w:after="0" w:afterAutospacing="0" w:line="440" w:lineRule="exact"/>
        <w:rPr>
          <w:rFonts w:ascii="仿宋" w:hAnsi="仿宋" w:eastAsia="仿宋" w:cs="仿宋"/>
          <w:b/>
          <w:bCs/>
          <w:color w:val="auto"/>
          <w:sz w:val="21"/>
          <w:szCs w:val="21"/>
          <w:highlight w:val="none"/>
        </w:rPr>
      </w:pPr>
      <w:r>
        <w:rPr>
          <w:rFonts w:hint="eastAsia" w:ascii="仿宋" w:hAnsi="仿宋" w:eastAsia="仿宋" w:cs="仿宋"/>
          <w:b/>
          <w:bCs/>
          <w:color w:val="auto"/>
          <w:szCs w:val="21"/>
          <w:highlight w:val="none"/>
        </w:rPr>
        <w:t>评选委员会全体成员签字/日期：</w:t>
      </w:r>
    </w:p>
    <w:p>
      <w:pPr>
        <w:autoSpaceDE w:val="0"/>
        <w:autoSpaceDN w:val="0"/>
        <w:adjustRightInd w:val="0"/>
        <w:spacing w:line="360" w:lineRule="auto"/>
        <w:rPr>
          <w:rFonts w:ascii="仿宋" w:hAnsi="仿宋" w:eastAsia="仿宋" w:cs="仿宋"/>
          <w:b/>
          <w:bCs/>
          <w:color w:val="auto"/>
          <w:szCs w:val="21"/>
          <w:highlight w:val="none"/>
        </w:rPr>
      </w:pPr>
    </w:p>
    <w:p>
      <w:pPr>
        <w:autoSpaceDE w:val="0"/>
        <w:autoSpaceDN w:val="0"/>
        <w:adjustRightInd w:val="0"/>
        <w:spacing w:line="360" w:lineRule="auto"/>
        <w:rPr>
          <w:rFonts w:ascii="仿宋" w:hAnsi="仿宋" w:eastAsia="仿宋" w:cs="仿宋"/>
          <w:b/>
          <w:bCs/>
          <w:color w:val="auto"/>
          <w:szCs w:val="21"/>
          <w:highlight w:val="none"/>
        </w:rPr>
      </w:pPr>
    </w:p>
    <w:p>
      <w:pPr>
        <w:autoSpaceDE w:val="0"/>
        <w:autoSpaceDN w:val="0"/>
        <w:adjustRightInd w:val="0"/>
        <w:spacing w:line="360" w:lineRule="auto"/>
        <w:rPr>
          <w:rFonts w:ascii="仿宋" w:hAnsi="仿宋" w:eastAsia="仿宋" w:cs="仿宋"/>
          <w:b/>
          <w:bCs/>
          <w:color w:val="auto"/>
          <w:szCs w:val="21"/>
          <w:highlight w:val="none"/>
        </w:rPr>
      </w:pPr>
    </w:p>
    <w:p>
      <w:pPr>
        <w:autoSpaceDE w:val="0"/>
        <w:autoSpaceDN w:val="0"/>
        <w:adjustRightIn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附表4</w:t>
      </w:r>
    </w:p>
    <w:p>
      <w:pPr>
        <w:autoSpaceDE w:val="0"/>
        <w:autoSpaceDN w:val="0"/>
        <w:adjustRightInd w:val="0"/>
        <w:spacing w:line="360" w:lineRule="auto"/>
        <w:jc w:val="left"/>
        <w:rPr>
          <w:rFonts w:ascii="仿宋" w:hAnsi="仿宋" w:eastAsia="仿宋" w:cs="仿宋"/>
          <w:b/>
          <w:bCs/>
          <w:color w:val="auto"/>
          <w:szCs w:val="21"/>
          <w:highlight w:val="none"/>
        </w:rPr>
      </w:pPr>
    </w:p>
    <w:p>
      <w:pPr>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澄清、说明或补正事项纪要</w:t>
      </w:r>
    </w:p>
    <w:p>
      <w:pPr>
        <w:jc w:val="center"/>
        <w:rPr>
          <w:rFonts w:ascii="仿宋" w:hAnsi="仿宋" w:eastAsia="仿宋" w:cs="仿宋"/>
          <w:b/>
          <w:color w:val="auto"/>
          <w:sz w:val="28"/>
          <w:szCs w:val="28"/>
          <w:highlight w:val="none"/>
        </w:rPr>
      </w:pPr>
    </w:p>
    <w:tbl>
      <w:tblPr>
        <w:tblStyle w:val="33"/>
        <w:tblW w:w="856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9"/>
        <w:gridCol w:w="6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 w:hRule="atLeast"/>
        </w:trPr>
        <w:tc>
          <w:tcPr>
            <w:tcW w:w="1799" w:type="dxa"/>
            <w:tcBorders>
              <w:bottom w:val="single" w:color="auto" w:sz="4" w:space="0"/>
              <w:right w:val="single" w:color="auto" w:sz="4" w:space="0"/>
            </w:tcBorders>
            <w:vAlign w:val="center"/>
          </w:tcPr>
          <w:p>
            <w:pPr>
              <w:snapToGrid w:val="0"/>
              <w:jc w:val="center"/>
              <w:rPr>
                <w:rFonts w:ascii="仿宋" w:hAnsi="仿宋" w:eastAsia="仿宋" w:cs="仿宋"/>
                <w:caps/>
                <w:color w:val="auto"/>
                <w:highlight w:val="none"/>
              </w:rPr>
            </w:pPr>
            <w:r>
              <w:rPr>
                <w:rFonts w:hint="eastAsia" w:ascii="仿宋" w:hAnsi="仿宋" w:eastAsia="仿宋" w:cs="仿宋"/>
                <w:caps/>
                <w:color w:val="auto"/>
                <w:highlight w:val="none"/>
              </w:rPr>
              <w:t>比选申请人名称</w:t>
            </w:r>
          </w:p>
        </w:tc>
        <w:tc>
          <w:tcPr>
            <w:tcW w:w="6765" w:type="dxa"/>
            <w:tcBorders>
              <w:left w:val="single" w:color="auto" w:sz="4" w:space="0"/>
              <w:bottom w:val="single" w:color="auto" w:sz="4" w:space="0"/>
            </w:tcBorders>
            <w:vAlign w:val="center"/>
          </w:tcPr>
          <w:p>
            <w:pPr>
              <w:snapToGrid w:val="0"/>
              <w:jc w:val="center"/>
              <w:rPr>
                <w:rFonts w:ascii="仿宋" w:hAnsi="仿宋" w:eastAsia="仿宋" w:cs="仿宋"/>
                <w:caps/>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1" w:hRule="atLeast"/>
        </w:trPr>
        <w:tc>
          <w:tcPr>
            <w:tcW w:w="8564" w:type="dxa"/>
            <w:gridSpan w:val="2"/>
            <w:tcBorders>
              <w:top w:val="single" w:color="auto" w:sz="4" w:space="0"/>
            </w:tcBorders>
          </w:tcPr>
          <w:p>
            <w:pPr>
              <w:snapToGrid w:val="0"/>
              <w:jc w:val="center"/>
              <w:rPr>
                <w:rFonts w:ascii="仿宋" w:hAnsi="仿宋" w:eastAsia="仿宋" w:cs="仿宋"/>
                <w:caps/>
                <w:color w:val="auto"/>
                <w:highlight w:val="none"/>
              </w:rPr>
            </w:pPr>
          </w:p>
          <w:p>
            <w:pPr>
              <w:snapToGrid w:val="0"/>
              <w:ind w:firstLine="420" w:firstLineChars="200"/>
              <w:rPr>
                <w:rFonts w:ascii="仿宋" w:hAnsi="仿宋" w:eastAsia="仿宋" w:cs="仿宋"/>
                <w:caps/>
                <w:color w:val="auto"/>
                <w:szCs w:val="21"/>
                <w:highlight w:val="none"/>
              </w:rPr>
            </w:pPr>
            <w:r>
              <w:rPr>
                <w:rFonts w:hint="eastAsia" w:ascii="仿宋" w:hAnsi="仿宋" w:eastAsia="仿宋" w:cs="仿宋"/>
                <w:caps/>
                <w:color w:val="auto"/>
                <w:szCs w:val="21"/>
                <w:highlight w:val="none"/>
              </w:rPr>
              <w:t>评选委员会对你方的参选文件进行了仔细的审查，现需你方对下列问题以书面形式予以澄清、说明或者补正：</w:t>
            </w:r>
          </w:p>
          <w:p>
            <w:pPr>
              <w:snapToGrid w:val="0"/>
              <w:ind w:firstLine="420" w:firstLineChars="200"/>
              <w:rPr>
                <w:rFonts w:ascii="仿宋" w:hAnsi="仿宋" w:eastAsia="仿宋" w:cs="仿宋"/>
                <w:caps/>
                <w:color w:val="auto"/>
                <w:szCs w:val="21"/>
                <w:highlight w:val="none"/>
              </w:rPr>
            </w:pPr>
          </w:p>
          <w:p>
            <w:pPr>
              <w:snapToGrid w:val="0"/>
              <w:ind w:firstLine="420" w:firstLineChars="200"/>
              <w:rPr>
                <w:rFonts w:ascii="仿宋" w:hAnsi="仿宋" w:eastAsia="仿宋" w:cs="仿宋"/>
                <w:caps/>
                <w:color w:val="auto"/>
                <w:szCs w:val="21"/>
                <w:highlight w:val="none"/>
              </w:rPr>
            </w:pPr>
          </w:p>
          <w:p>
            <w:pPr>
              <w:snapToGrid w:val="0"/>
              <w:rPr>
                <w:rFonts w:ascii="仿宋" w:hAnsi="仿宋" w:eastAsia="仿宋" w:cs="仿宋"/>
                <w:color w:val="auto"/>
                <w:szCs w:val="21"/>
                <w:highlight w:val="none"/>
              </w:rPr>
            </w:pPr>
          </w:p>
          <w:p>
            <w:pPr>
              <w:snapToGrid w:val="0"/>
              <w:ind w:firstLine="420" w:firstLineChars="200"/>
              <w:rPr>
                <w:rFonts w:ascii="仿宋" w:hAnsi="仿宋" w:eastAsia="仿宋" w:cs="仿宋"/>
                <w:color w:val="auto"/>
                <w:szCs w:val="21"/>
                <w:highlight w:val="none"/>
              </w:rPr>
            </w:pPr>
          </w:p>
          <w:p>
            <w:pPr>
              <w:snapToGrid w:val="0"/>
              <w:spacing w:line="480" w:lineRule="auto"/>
              <w:ind w:firstLine="420" w:firstLineChars="200"/>
              <w:jc w:val="center"/>
              <w:rPr>
                <w:rFonts w:ascii="仿宋" w:hAnsi="仿宋" w:eastAsia="仿宋" w:cs="仿宋"/>
                <w:color w:val="auto"/>
                <w:szCs w:val="21"/>
                <w:highlight w:val="none"/>
              </w:rPr>
            </w:pPr>
          </w:p>
          <w:p>
            <w:pPr>
              <w:snapToGrid w:val="0"/>
              <w:ind w:firstLine="420" w:firstLineChars="200"/>
              <w:rPr>
                <w:rFonts w:ascii="仿宋" w:hAnsi="仿宋" w:eastAsia="仿宋" w:cs="仿宋"/>
                <w:caps/>
                <w:color w:val="auto"/>
                <w:szCs w:val="21"/>
                <w:highlight w:val="none"/>
              </w:rPr>
            </w:pPr>
            <w:r>
              <w:rPr>
                <w:rFonts w:hint="eastAsia" w:ascii="仿宋" w:hAnsi="仿宋" w:eastAsia="仿宋" w:cs="仿宋"/>
                <w:caps/>
                <w:color w:val="auto"/>
                <w:szCs w:val="21"/>
                <w:highlight w:val="none"/>
              </w:rPr>
              <w:t>请将上述问题的澄清、说明或者补正于年月日时前密封递交至  ，或传真至（传真号码）。采用传真方式的，应在年月日时前将原件递交至。</w:t>
            </w:r>
          </w:p>
          <w:p>
            <w:pPr>
              <w:snapToGrid w:val="0"/>
              <w:ind w:firstLine="420" w:firstLineChars="200"/>
              <w:rPr>
                <w:rFonts w:ascii="仿宋" w:hAnsi="仿宋" w:eastAsia="仿宋" w:cs="仿宋"/>
                <w:caps/>
                <w:color w:val="auto"/>
                <w:szCs w:val="21"/>
                <w:highlight w:val="none"/>
              </w:rPr>
            </w:pPr>
          </w:p>
          <w:p>
            <w:pPr>
              <w:snapToGrid w:val="0"/>
              <w:ind w:firstLine="420" w:firstLineChars="200"/>
              <w:rPr>
                <w:rFonts w:ascii="仿宋" w:hAnsi="仿宋" w:eastAsia="仿宋" w:cs="仿宋"/>
                <w:caps/>
                <w:color w:val="auto"/>
                <w:szCs w:val="21"/>
                <w:highlight w:val="none"/>
              </w:rPr>
            </w:pPr>
          </w:p>
          <w:p>
            <w:pPr>
              <w:snapToGrid w:val="0"/>
              <w:ind w:firstLine="420" w:firstLineChars="200"/>
              <w:rPr>
                <w:rFonts w:ascii="仿宋" w:hAnsi="仿宋" w:eastAsia="仿宋" w:cs="仿宋"/>
                <w:caps/>
                <w:color w:val="auto"/>
                <w:szCs w:val="21"/>
                <w:highlight w:val="none"/>
              </w:rPr>
            </w:pPr>
            <w:r>
              <w:rPr>
                <w:rFonts w:hint="eastAsia" w:ascii="仿宋" w:hAnsi="仿宋" w:eastAsia="仿宋" w:cs="仿宋"/>
                <w:caps/>
                <w:color w:val="auto"/>
                <w:szCs w:val="21"/>
                <w:highlight w:val="none"/>
              </w:rPr>
              <w:t>评选委员会主任签字：</w:t>
            </w:r>
          </w:p>
          <w:p>
            <w:pPr>
              <w:snapToGrid w:val="0"/>
              <w:ind w:firstLine="420" w:firstLineChars="200"/>
              <w:rPr>
                <w:rFonts w:ascii="仿宋" w:hAnsi="仿宋" w:eastAsia="仿宋" w:cs="仿宋"/>
                <w:caps/>
                <w:color w:val="auto"/>
                <w:szCs w:val="21"/>
                <w:highlight w:val="none"/>
              </w:rPr>
            </w:pPr>
          </w:p>
          <w:p>
            <w:pPr>
              <w:snapToGrid w:val="0"/>
              <w:ind w:firstLine="420" w:firstLineChars="200"/>
              <w:rPr>
                <w:rFonts w:ascii="仿宋" w:hAnsi="仿宋" w:eastAsia="仿宋" w:cs="仿宋"/>
                <w:color w:val="auto"/>
                <w:highlight w:val="none"/>
              </w:rPr>
            </w:pPr>
            <w:r>
              <w:rPr>
                <w:rFonts w:hint="eastAsia" w:ascii="仿宋" w:hAnsi="仿宋" w:eastAsia="仿宋" w:cs="仿宋"/>
                <w:caps/>
                <w:color w:val="auto"/>
                <w:szCs w:val="21"/>
                <w:highlight w:val="none"/>
              </w:rPr>
              <w:t>日期：</w:t>
            </w:r>
          </w:p>
        </w:tc>
      </w:tr>
    </w:tbl>
    <w:p>
      <w:pPr>
        <w:autoSpaceDE w:val="0"/>
        <w:autoSpaceDN w:val="0"/>
        <w:adjustRightIn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br w:type="page"/>
      </w:r>
      <w:r>
        <w:rPr>
          <w:rFonts w:hint="eastAsia" w:ascii="仿宋" w:hAnsi="仿宋" w:eastAsia="仿宋" w:cs="仿宋"/>
          <w:b/>
          <w:bCs/>
          <w:color w:val="auto"/>
          <w:szCs w:val="21"/>
          <w:highlight w:val="none"/>
        </w:rPr>
        <w:t>附表5</w:t>
      </w:r>
    </w:p>
    <w:p>
      <w:pPr>
        <w:autoSpaceDE w:val="0"/>
        <w:autoSpaceDN w:val="0"/>
        <w:adjustRightInd w:val="0"/>
        <w:spacing w:line="360" w:lineRule="auto"/>
        <w:rPr>
          <w:rFonts w:ascii="仿宋" w:hAnsi="仿宋" w:eastAsia="仿宋" w:cs="仿宋"/>
          <w:b/>
          <w:bCs/>
          <w:color w:val="auto"/>
          <w:szCs w:val="21"/>
          <w:highlight w:val="none"/>
        </w:rPr>
      </w:pPr>
    </w:p>
    <w:p>
      <w:pPr>
        <w:ind w:firstLine="42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进入详细评审阶段的比选申请人名单表</w:t>
      </w:r>
    </w:p>
    <w:p>
      <w:pPr>
        <w:jc w:val="center"/>
        <w:rPr>
          <w:rFonts w:ascii="仿宋" w:hAnsi="仿宋" w:eastAsia="仿宋" w:cs="仿宋"/>
          <w:b/>
          <w:color w:val="auto"/>
          <w:highlight w:val="none"/>
        </w:rPr>
      </w:pPr>
      <w:r>
        <w:rPr>
          <w:rFonts w:hint="eastAsia" w:ascii="仿宋" w:hAnsi="仿宋" w:eastAsia="仿宋" w:cs="仿宋"/>
          <w:b/>
          <w:color w:val="auto"/>
          <w:highlight w:val="none"/>
        </w:rPr>
        <w:t>（符合要求的比选申请人一览表）</w:t>
      </w:r>
    </w:p>
    <w:p>
      <w:pPr>
        <w:ind w:firstLine="3200"/>
        <w:rPr>
          <w:rFonts w:ascii="仿宋" w:hAnsi="仿宋" w:eastAsia="仿宋" w:cs="仿宋"/>
          <w:color w:val="auto"/>
          <w:szCs w:val="21"/>
          <w:highlight w:val="none"/>
        </w:rPr>
      </w:pPr>
    </w:p>
    <w:tbl>
      <w:tblPr>
        <w:tblStyle w:val="33"/>
        <w:tblW w:w="84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7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7750" w:type="dxa"/>
            <w:tcBorders>
              <w:top w:val="single" w:color="auto" w:sz="12"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比选申请人名称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750"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750"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750"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750"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000000"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7750" w:type="dxa"/>
            <w:tcBorders>
              <w:top w:val="single" w:color="auto" w:sz="4" w:space="0"/>
              <w:left w:val="single" w:color="000000"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000000"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7750" w:type="dxa"/>
            <w:tcBorders>
              <w:top w:val="single" w:color="auto" w:sz="4" w:space="0"/>
              <w:left w:val="single" w:color="000000"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000000"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7750" w:type="dxa"/>
            <w:tcBorders>
              <w:top w:val="single" w:color="auto" w:sz="4" w:space="0"/>
              <w:left w:val="single" w:color="000000"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4" w:space="0"/>
              <w:right w:val="single" w:color="000000"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7750" w:type="dxa"/>
            <w:tcBorders>
              <w:top w:val="single" w:color="auto" w:sz="4" w:space="0"/>
              <w:left w:val="single" w:color="000000"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12" w:space="0"/>
              <w:bottom w:val="single" w:color="auto" w:sz="12" w:space="0"/>
              <w:right w:val="single" w:color="000000"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7750" w:type="dxa"/>
            <w:tcBorders>
              <w:top w:val="single" w:color="auto" w:sz="4" w:space="0"/>
              <w:left w:val="single" w:color="000000" w:sz="4" w:space="0"/>
              <w:bottom w:val="single" w:color="auto" w:sz="12" w:space="0"/>
              <w:right w:val="single" w:color="auto" w:sz="12" w:space="0"/>
            </w:tcBorders>
            <w:vAlign w:val="center"/>
          </w:tcPr>
          <w:p>
            <w:pPr>
              <w:jc w:val="center"/>
              <w:rPr>
                <w:rFonts w:ascii="仿宋" w:hAnsi="仿宋" w:eastAsia="仿宋" w:cs="仿宋"/>
                <w:color w:val="auto"/>
                <w:szCs w:val="21"/>
                <w:highlight w:val="none"/>
              </w:rPr>
            </w:pPr>
          </w:p>
        </w:tc>
      </w:tr>
    </w:tbl>
    <w:p>
      <w:pPr>
        <w:pStyle w:val="29"/>
        <w:spacing w:before="0" w:beforeAutospacing="0" w:after="0" w:afterAutospacing="0" w:line="440" w:lineRule="exact"/>
        <w:rPr>
          <w:rFonts w:ascii="仿宋" w:hAnsi="仿宋" w:eastAsia="仿宋" w:cs="仿宋"/>
          <w:b/>
          <w:bCs/>
          <w:color w:val="auto"/>
          <w:sz w:val="21"/>
          <w:szCs w:val="21"/>
          <w:highlight w:val="none"/>
        </w:rPr>
      </w:pPr>
      <w:r>
        <w:rPr>
          <w:rFonts w:hint="eastAsia" w:ascii="仿宋" w:hAnsi="仿宋" w:eastAsia="仿宋" w:cs="仿宋"/>
          <w:b/>
          <w:bCs/>
          <w:color w:val="auto"/>
          <w:szCs w:val="21"/>
          <w:highlight w:val="none"/>
        </w:rPr>
        <w:t>评选委员会全体成员签字/日期：</w:t>
      </w:r>
    </w:p>
    <w:p>
      <w:pPr>
        <w:ind w:firstLine="420" w:firstLineChars="200"/>
        <w:rPr>
          <w:rFonts w:ascii="仿宋" w:hAnsi="仿宋" w:eastAsia="仿宋" w:cs="仿宋"/>
          <w:color w:val="auto"/>
          <w:szCs w:val="21"/>
          <w:highlight w:val="none"/>
        </w:rPr>
      </w:pPr>
      <w:r>
        <w:rPr>
          <w:rFonts w:hint="eastAsia" w:ascii="仿宋" w:hAnsi="仿宋" w:eastAsia="仿宋" w:cs="仿宋"/>
          <w:color w:val="auto"/>
          <w:highlight w:val="none"/>
        </w:rPr>
        <w:br w:type="page"/>
      </w:r>
    </w:p>
    <w:p>
      <w:pPr>
        <w:autoSpaceDE w:val="0"/>
        <w:autoSpaceDN w:val="0"/>
        <w:adjustRightIn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附表6</w:t>
      </w:r>
    </w:p>
    <w:p>
      <w:pPr>
        <w:ind w:firstLine="42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申请人实力与资信评分表（</w:t>
      </w:r>
      <w:r>
        <w:rPr>
          <w:rFonts w:hint="eastAsia" w:ascii="仿宋" w:hAnsi="仿宋" w:eastAsia="仿宋" w:cs="仿宋"/>
          <w:b/>
          <w:color w:val="auto"/>
          <w:sz w:val="28"/>
          <w:szCs w:val="28"/>
          <w:highlight w:val="none"/>
          <w:lang w:val="en-US" w:eastAsia="zh-CN"/>
        </w:rPr>
        <w:t>本表满分70</w:t>
      </w:r>
      <w:r>
        <w:rPr>
          <w:rFonts w:hint="eastAsia" w:ascii="仿宋" w:hAnsi="仿宋" w:eastAsia="仿宋" w:cs="仿宋"/>
          <w:b/>
          <w:color w:val="auto"/>
          <w:sz w:val="28"/>
          <w:szCs w:val="28"/>
          <w:highlight w:val="none"/>
        </w:rPr>
        <w:t>分）</w:t>
      </w:r>
    </w:p>
    <w:tbl>
      <w:tblPr>
        <w:tblStyle w:val="3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052"/>
        <w:gridCol w:w="4764"/>
        <w:gridCol w:w="1184"/>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3" w:type="dxa"/>
            <w:noWrap w:val="0"/>
            <w:vAlign w:val="top"/>
          </w:tcPr>
          <w:p>
            <w:pPr>
              <w:jc w:val="center"/>
              <w:rPr>
                <w:rFonts w:ascii="宋体" w:hAnsi="宋体"/>
                <w:color w:val="auto"/>
                <w:sz w:val="21"/>
                <w:szCs w:val="21"/>
                <w:highlight w:val="none"/>
              </w:rPr>
            </w:pPr>
            <w:r>
              <w:rPr>
                <w:rFonts w:ascii="宋体" w:hAnsi="宋体"/>
                <w:color w:val="auto"/>
                <w:sz w:val="21"/>
                <w:szCs w:val="21"/>
                <w:highlight w:val="none"/>
              </w:rPr>
              <w:t>序号</w:t>
            </w:r>
          </w:p>
        </w:tc>
        <w:tc>
          <w:tcPr>
            <w:tcW w:w="1052" w:type="dxa"/>
            <w:noWrap w:val="0"/>
            <w:vAlign w:val="center"/>
          </w:tcPr>
          <w:p>
            <w:pPr>
              <w:jc w:val="center"/>
              <w:rPr>
                <w:rFonts w:hint="eastAsia" w:ascii="宋体" w:hAnsi="宋体"/>
                <w:color w:val="auto"/>
                <w:sz w:val="21"/>
                <w:szCs w:val="21"/>
                <w:highlight w:val="none"/>
              </w:rPr>
            </w:pPr>
            <w:r>
              <w:rPr>
                <w:rFonts w:ascii="宋体" w:hAnsi="宋体"/>
                <w:color w:val="auto"/>
                <w:sz w:val="21"/>
                <w:szCs w:val="21"/>
                <w:highlight w:val="none"/>
              </w:rPr>
              <w:t>评审</w:t>
            </w:r>
          </w:p>
          <w:p>
            <w:pPr>
              <w:jc w:val="center"/>
              <w:rPr>
                <w:rFonts w:ascii="宋体" w:hAnsi="宋体"/>
                <w:color w:val="auto"/>
                <w:sz w:val="21"/>
                <w:szCs w:val="21"/>
                <w:highlight w:val="none"/>
              </w:rPr>
            </w:pPr>
            <w:r>
              <w:rPr>
                <w:rFonts w:ascii="宋体" w:hAnsi="宋体"/>
                <w:color w:val="auto"/>
                <w:sz w:val="21"/>
                <w:szCs w:val="21"/>
                <w:highlight w:val="none"/>
              </w:rPr>
              <w:t>内容</w:t>
            </w:r>
          </w:p>
        </w:tc>
        <w:tc>
          <w:tcPr>
            <w:tcW w:w="5948" w:type="dxa"/>
            <w:gridSpan w:val="2"/>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评审标准</w:t>
            </w:r>
          </w:p>
        </w:tc>
        <w:tc>
          <w:tcPr>
            <w:tcW w:w="1200" w:type="dxa"/>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评审得分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53" w:type="dxa"/>
            <w:vMerge w:val="restart"/>
            <w:noWrap w:val="0"/>
            <w:vAlign w:val="center"/>
          </w:tcPr>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1052" w:type="dxa"/>
            <w:vMerge w:val="restart"/>
            <w:noWrap w:val="0"/>
            <w:vAlign w:val="center"/>
          </w:tcPr>
          <w:p>
            <w:pPr>
              <w:jc w:val="both"/>
              <w:rPr>
                <w:rFonts w:hint="eastAsia" w:ascii="宋体" w:hAnsi="宋体"/>
                <w:color w:val="auto"/>
                <w:sz w:val="21"/>
                <w:szCs w:val="21"/>
                <w:highlight w:val="none"/>
              </w:rPr>
            </w:pPr>
            <w:r>
              <w:rPr>
                <w:rFonts w:hint="eastAsia" w:ascii="宋体" w:hAnsi="宋体"/>
                <w:color w:val="auto"/>
                <w:sz w:val="21"/>
                <w:szCs w:val="21"/>
                <w:highlight w:val="none"/>
                <w:lang w:val="en-US" w:eastAsia="zh-CN"/>
              </w:rPr>
              <w:t>美陈设计方案</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lang w:eastAsia="zh-CN"/>
              </w:rPr>
              <w:t>分）</w:t>
            </w:r>
          </w:p>
        </w:tc>
        <w:tc>
          <w:tcPr>
            <w:tcW w:w="4764" w:type="dxa"/>
            <w:noWrap w:val="0"/>
            <w:vAlign w:val="center"/>
          </w:tcPr>
          <w:p>
            <w:pPr>
              <w:jc w:val="left"/>
              <w:rPr>
                <w:rFonts w:hint="default" w:eastAsia="宋体"/>
                <w:color w:val="auto"/>
                <w:sz w:val="21"/>
                <w:szCs w:val="21"/>
                <w:highlight w:val="none"/>
                <w:lang w:val="en-US" w:eastAsia="zh-CN"/>
              </w:rPr>
            </w:pPr>
            <w:r>
              <w:rPr>
                <w:rFonts w:hint="eastAsia"/>
                <w:color w:val="auto"/>
                <w:sz w:val="21"/>
                <w:szCs w:val="21"/>
                <w:highlight w:val="none"/>
                <w:lang w:val="en-US" w:eastAsia="zh-CN"/>
              </w:rPr>
              <w:t>设计方案优良</w:t>
            </w:r>
          </w:p>
        </w:tc>
        <w:tc>
          <w:tcPr>
            <w:tcW w:w="1184" w:type="dxa"/>
            <w:noWrap w:val="0"/>
            <w:vAlign w:val="center"/>
          </w:tcPr>
          <w:p>
            <w:pPr>
              <w:jc w:val="center"/>
              <w:rPr>
                <w:rFonts w:hint="eastAsia"/>
                <w:color w:val="auto"/>
                <w:sz w:val="21"/>
                <w:szCs w:val="21"/>
                <w:highlight w:val="none"/>
              </w:rPr>
            </w:pPr>
            <w:r>
              <w:rPr>
                <w:rFonts w:hint="eastAsia"/>
                <w:color w:val="auto"/>
                <w:sz w:val="21"/>
                <w:szCs w:val="21"/>
                <w:highlight w:val="none"/>
                <w:lang w:val="en-US" w:eastAsia="zh-CN"/>
              </w:rPr>
              <w:t>21-30</w:t>
            </w:r>
            <w:r>
              <w:rPr>
                <w:rFonts w:hint="eastAsia"/>
                <w:color w:val="auto"/>
                <w:sz w:val="21"/>
                <w:szCs w:val="21"/>
                <w:highlight w:val="none"/>
              </w:rPr>
              <w:t>分</w:t>
            </w:r>
          </w:p>
        </w:tc>
        <w:tc>
          <w:tcPr>
            <w:tcW w:w="1200" w:type="dxa"/>
            <w:vMerge w:val="restart"/>
            <w:noWrap w:val="0"/>
            <w:vAlign w:val="center"/>
          </w:tcPr>
          <w:p>
            <w:pPr>
              <w:jc w:val="both"/>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不提供</w:t>
            </w:r>
            <w:r>
              <w:rPr>
                <w:rFonts w:hint="eastAsia" w:ascii="宋体" w:hAnsi="宋体"/>
                <w:color w:val="auto"/>
                <w:sz w:val="21"/>
                <w:szCs w:val="21"/>
                <w:highlight w:val="none"/>
                <w:lang w:val="en-US" w:eastAsia="zh-CN"/>
              </w:rPr>
              <w:t>设计</w:t>
            </w:r>
            <w:r>
              <w:rPr>
                <w:rFonts w:hint="eastAsia" w:ascii="宋体" w:hAnsi="宋体"/>
                <w:color w:val="auto"/>
                <w:sz w:val="21"/>
                <w:szCs w:val="21"/>
                <w:highlight w:val="none"/>
                <w:lang w:eastAsia="zh-CN"/>
              </w:rPr>
              <w:t>方案，其投标无效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53" w:type="dxa"/>
            <w:vMerge w:val="continue"/>
            <w:noWrap w:val="0"/>
            <w:vAlign w:val="center"/>
          </w:tcPr>
          <w:p>
            <w:pPr>
              <w:jc w:val="center"/>
              <w:rPr>
                <w:rFonts w:hint="eastAsia" w:ascii="宋体" w:hAnsi="宋体"/>
                <w:color w:val="auto"/>
                <w:sz w:val="21"/>
                <w:szCs w:val="21"/>
                <w:highlight w:val="none"/>
                <w:lang w:val="en-US" w:eastAsia="zh-CN"/>
              </w:rPr>
            </w:pPr>
          </w:p>
        </w:tc>
        <w:tc>
          <w:tcPr>
            <w:tcW w:w="1052" w:type="dxa"/>
            <w:vMerge w:val="continue"/>
            <w:noWrap w:val="0"/>
            <w:vAlign w:val="center"/>
          </w:tcPr>
          <w:p>
            <w:pPr>
              <w:jc w:val="both"/>
              <w:rPr>
                <w:rFonts w:hint="eastAsia" w:ascii="宋体" w:hAnsi="宋体"/>
                <w:color w:val="auto"/>
                <w:sz w:val="21"/>
                <w:szCs w:val="21"/>
                <w:highlight w:val="none"/>
              </w:rPr>
            </w:pPr>
          </w:p>
        </w:tc>
        <w:tc>
          <w:tcPr>
            <w:tcW w:w="4764" w:type="dxa"/>
            <w:noWrap w:val="0"/>
            <w:vAlign w:val="center"/>
          </w:tcPr>
          <w:p>
            <w:pPr>
              <w:jc w:val="left"/>
              <w:rPr>
                <w:rFonts w:hint="eastAsia"/>
                <w:color w:val="auto"/>
                <w:sz w:val="21"/>
                <w:szCs w:val="21"/>
                <w:highlight w:val="none"/>
                <w:lang w:val="en-US" w:eastAsia="zh-CN"/>
              </w:rPr>
            </w:pPr>
            <w:r>
              <w:rPr>
                <w:rFonts w:hint="eastAsia"/>
                <w:color w:val="auto"/>
                <w:sz w:val="21"/>
                <w:szCs w:val="21"/>
                <w:highlight w:val="none"/>
                <w:lang w:val="en-US" w:eastAsia="zh-CN"/>
              </w:rPr>
              <w:t>设计方案良好</w:t>
            </w:r>
          </w:p>
        </w:tc>
        <w:tc>
          <w:tcPr>
            <w:tcW w:w="1184" w:type="dxa"/>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11-20分</w:t>
            </w:r>
          </w:p>
        </w:tc>
        <w:tc>
          <w:tcPr>
            <w:tcW w:w="1200" w:type="dxa"/>
            <w:vMerge w:val="continue"/>
            <w:noWrap w:val="0"/>
            <w:vAlign w:val="center"/>
          </w:tcPr>
          <w:p>
            <w:pPr>
              <w:jc w:val="cente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53" w:type="dxa"/>
            <w:vMerge w:val="continue"/>
            <w:noWrap w:val="0"/>
            <w:vAlign w:val="center"/>
          </w:tcPr>
          <w:p>
            <w:pPr>
              <w:jc w:val="center"/>
              <w:rPr>
                <w:rFonts w:ascii="宋体" w:hAnsi="宋体"/>
                <w:color w:val="auto"/>
                <w:sz w:val="21"/>
                <w:szCs w:val="21"/>
                <w:highlight w:val="none"/>
              </w:rPr>
            </w:pPr>
          </w:p>
        </w:tc>
        <w:tc>
          <w:tcPr>
            <w:tcW w:w="1052" w:type="dxa"/>
            <w:vMerge w:val="continue"/>
            <w:noWrap w:val="0"/>
            <w:vAlign w:val="center"/>
          </w:tcPr>
          <w:p>
            <w:pPr>
              <w:jc w:val="center"/>
              <w:rPr>
                <w:rFonts w:ascii="宋体" w:hAnsi="宋体"/>
                <w:color w:val="auto"/>
                <w:sz w:val="21"/>
                <w:szCs w:val="21"/>
                <w:highlight w:val="none"/>
              </w:rPr>
            </w:pPr>
          </w:p>
        </w:tc>
        <w:tc>
          <w:tcPr>
            <w:tcW w:w="4764" w:type="dxa"/>
            <w:noWrap w:val="0"/>
            <w:vAlign w:val="center"/>
          </w:tcPr>
          <w:p>
            <w:pPr>
              <w:jc w:val="lef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设计方案一般</w:t>
            </w:r>
          </w:p>
        </w:tc>
        <w:tc>
          <w:tcPr>
            <w:tcW w:w="1184" w:type="dxa"/>
            <w:noWrap w:val="0"/>
            <w:vAlign w:val="center"/>
          </w:tcPr>
          <w:p>
            <w:pPr>
              <w:jc w:val="center"/>
              <w:rPr>
                <w:rFonts w:hint="eastAsia"/>
                <w:color w:val="auto"/>
                <w:sz w:val="21"/>
                <w:szCs w:val="21"/>
                <w:highlight w:val="none"/>
              </w:rPr>
            </w:pPr>
            <w:r>
              <w:rPr>
                <w:rFonts w:hint="eastAsia"/>
                <w:color w:val="auto"/>
                <w:sz w:val="21"/>
                <w:szCs w:val="21"/>
                <w:highlight w:val="none"/>
                <w:lang w:val="en-US" w:eastAsia="zh-CN"/>
              </w:rPr>
              <w:t>0-10</w:t>
            </w:r>
            <w:r>
              <w:rPr>
                <w:rFonts w:hint="eastAsia"/>
                <w:color w:val="auto"/>
                <w:sz w:val="21"/>
                <w:szCs w:val="21"/>
                <w:highlight w:val="none"/>
              </w:rPr>
              <w:t>分</w:t>
            </w:r>
          </w:p>
        </w:tc>
        <w:tc>
          <w:tcPr>
            <w:tcW w:w="1200" w:type="dxa"/>
            <w:vMerge w:val="continue"/>
            <w:noWrap w:val="0"/>
            <w:vAlign w:val="center"/>
          </w:tcPr>
          <w:p>
            <w:pPr>
              <w:jc w:val="cente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553" w:type="dxa"/>
            <w:vMerge w:val="restart"/>
            <w:noWrap w:val="0"/>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2</w:t>
            </w:r>
          </w:p>
        </w:tc>
        <w:tc>
          <w:tcPr>
            <w:tcW w:w="1052" w:type="dxa"/>
            <w:vMerge w:val="restart"/>
            <w:noWrap w:val="0"/>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企业</w:t>
            </w:r>
          </w:p>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实力</w:t>
            </w:r>
          </w:p>
          <w:p>
            <w:pPr>
              <w:jc w:val="center"/>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b w:val="0"/>
                <w:bCs w:val="0"/>
                <w:color w:val="auto"/>
                <w:sz w:val="21"/>
                <w:szCs w:val="21"/>
                <w:highlight w:val="none"/>
                <w:lang w:val="en-US" w:eastAsia="zh-CN"/>
              </w:rPr>
              <w:t>10</w:t>
            </w:r>
            <w:r>
              <w:rPr>
                <w:rFonts w:hint="eastAsia" w:ascii="宋体" w:hAnsi="宋体"/>
                <w:b w:val="0"/>
                <w:bCs w:val="0"/>
                <w:color w:val="auto"/>
                <w:sz w:val="21"/>
                <w:szCs w:val="21"/>
                <w:highlight w:val="none"/>
              </w:rPr>
              <w:t>分</w:t>
            </w:r>
            <w:r>
              <w:rPr>
                <w:rFonts w:hint="eastAsia" w:ascii="宋体" w:hAnsi="宋体"/>
                <w:color w:val="auto"/>
                <w:sz w:val="21"/>
                <w:szCs w:val="21"/>
                <w:highlight w:val="none"/>
              </w:rPr>
              <w:t>）</w:t>
            </w:r>
          </w:p>
        </w:tc>
        <w:tc>
          <w:tcPr>
            <w:tcW w:w="4764" w:type="dxa"/>
            <w:noWrap w:val="0"/>
            <w:vAlign w:val="center"/>
          </w:tcPr>
          <w:p>
            <w:pPr>
              <w:jc w:val="lef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提供一个美陈实施或应用的成功案例，案例优秀得7-10分，案例良好得4-6分，案例一般得1-3分。</w:t>
            </w:r>
          </w:p>
        </w:tc>
        <w:tc>
          <w:tcPr>
            <w:tcW w:w="1184" w:type="dxa"/>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10分</w:t>
            </w:r>
          </w:p>
        </w:tc>
        <w:tc>
          <w:tcPr>
            <w:tcW w:w="1200" w:type="dxa"/>
            <w:noWrap w:val="0"/>
            <w:vAlign w:val="center"/>
          </w:tcPr>
          <w:p>
            <w:pPr>
              <w:jc w:val="center"/>
              <w:rPr>
                <w:rFonts w:hint="default" w:ascii="宋体" w:hAnsi="宋体" w:eastAsia="宋体"/>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3" w:type="dxa"/>
            <w:noWrap w:val="0"/>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3</w:t>
            </w:r>
          </w:p>
        </w:tc>
        <w:tc>
          <w:tcPr>
            <w:tcW w:w="1052" w:type="dxa"/>
            <w:noWrap w:val="0"/>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企业</w:t>
            </w:r>
          </w:p>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业绩</w:t>
            </w:r>
          </w:p>
          <w:p>
            <w:pPr>
              <w:jc w:val="center"/>
              <w:rPr>
                <w:rFonts w:hint="eastAsia" w:ascii="宋体" w:hAnsi="宋体"/>
                <w:color w:val="auto"/>
                <w:sz w:val="21"/>
                <w:szCs w:val="21"/>
                <w:highlight w:val="none"/>
              </w:rPr>
            </w:pP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20</w:t>
            </w:r>
            <w:r>
              <w:rPr>
                <w:rFonts w:hint="eastAsia" w:ascii="宋体" w:hAnsi="宋体"/>
                <w:color w:val="auto"/>
                <w:sz w:val="21"/>
                <w:szCs w:val="21"/>
                <w:highlight w:val="none"/>
              </w:rPr>
              <w:t>分）</w:t>
            </w:r>
          </w:p>
        </w:tc>
        <w:tc>
          <w:tcPr>
            <w:tcW w:w="4764" w:type="dxa"/>
            <w:noWrap w:val="0"/>
            <w:vAlign w:val="center"/>
          </w:tcPr>
          <w:p>
            <w:pPr>
              <w:jc w:val="left"/>
              <w:rPr>
                <w:rFonts w:hint="eastAsia" w:ascii="宋体" w:hAnsi="宋体"/>
                <w:b/>
                <w:bCs/>
                <w:color w:val="auto"/>
                <w:sz w:val="21"/>
                <w:szCs w:val="21"/>
                <w:highlight w:val="none"/>
                <w:lang w:val="en-US" w:eastAsia="zh-CN"/>
              </w:rPr>
            </w:pPr>
            <w:r>
              <w:rPr>
                <w:rFonts w:hint="eastAsia" w:ascii="宋体" w:hAnsi="宋体"/>
                <w:color w:val="auto"/>
                <w:sz w:val="21"/>
                <w:szCs w:val="21"/>
                <w:highlight w:val="none"/>
                <w:lang w:val="en-US" w:eastAsia="zh-CN"/>
              </w:rPr>
              <w:t>近三年为其他项目完成过美陈设计实施服务</w:t>
            </w:r>
            <w:r>
              <w:rPr>
                <w:rFonts w:hint="eastAsia" w:ascii="宋体" w:hAnsi="宋体"/>
                <w:b/>
                <w:bCs/>
                <w:color w:val="auto"/>
                <w:sz w:val="21"/>
                <w:szCs w:val="21"/>
                <w:highlight w:val="none"/>
                <w:lang w:val="en-US" w:eastAsia="zh-CN"/>
              </w:rPr>
              <w:t>。</w:t>
            </w:r>
          </w:p>
          <w:p>
            <w:pPr>
              <w:jc w:val="left"/>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提供合同复印件（可不体现金额），包含封面、盖章页。每服务一家得4分，最高得20分。</w:t>
            </w:r>
            <w:r>
              <w:rPr>
                <w:rFonts w:hint="eastAsia" w:ascii="宋体" w:hAnsi="宋体"/>
                <w:b/>
                <w:bCs/>
                <w:color w:val="auto"/>
                <w:sz w:val="21"/>
                <w:szCs w:val="21"/>
                <w:highlight w:val="none"/>
                <w:lang w:val="en-US" w:eastAsia="zh-CN"/>
              </w:rPr>
              <w:t>相同企业业绩不累计。</w:t>
            </w:r>
          </w:p>
        </w:tc>
        <w:tc>
          <w:tcPr>
            <w:tcW w:w="1184" w:type="dxa"/>
            <w:noWrap w:val="0"/>
            <w:vAlign w:val="center"/>
          </w:tcPr>
          <w:p>
            <w:pPr>
              <w:jc w:val="center"/>
              <w:rPr>
                <w:rFonts w:hint="default"/>
                <w:color w:val="auto"/>
                <w:sz w:val="21"/>
                <w:szCs w:val="21"/>
                <w:highlight w:val="none"/>
                <w:lang w:val="en-US"/>
              </w:rPr>
            </w:pPr>
            <w:r>
              <w:rPr>
                <w:rFonts w:hint="eastAsia"/>
                <w:color w:val="auto"/>
                <w:sz w:val="21"/>
                <w:szCs w:val="21"/>
                <w:highlight w:val="none"/>
                <w:lang w:val="en-US" w:eastAsia="zh-CN"/>
              </w:rPr>
              <w:t>20分</w:t>
            </w:r>
          </w:p>
        </w:tc>
        <w:tc>
          <w:tcPr>
            <w:tcW w:w="1200" w:type="dxa"/>
            <w:noWrap w:val="0"/>
            <w:vAlign w:val="center"/>
          </w:tcPr>
          <w:p>
            <w:pPr>
              <w:jc w:val="cente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53" w:type="dxa"/>
            <w:vMerge w:val="restart"/>
            <w:noWrap w:val="0"/>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4</w:t>
            </w:r>
          </w:p>
        </w:tc>
        <w:tc>
          <w:tcPr>
            <w:tcW w:w="1052" w:type="dxa"/>
            <w:vMerge w:val="restart"/>
            <w:noWrap w:val="0"/>
            <w:vAlign w:val="center"/>
          </w:tcPr>
          <w:p>
            <w:pPr>
              <w:jc w:val="center"/>
              <w:rPr>
                <w:rFonts w:ascii="宋体" w:hAnsi="宋体"/>
                <w:color w:val="auto"/>
                <w:sz w:val="21"/>
                <w:szCs w:val="21"/>
                <w:highlight w:val="none"/>
              </w:rPr>
            </w:pPr>
            <w:r>
              <w:rPr>
                <w:rFonts w:hint="eastAsia" w:ascii="宋体" w:hAnsi="宋体"/>
                <w:color w:val="auto"/>
                <w:sz w:val="21"/>
                <w:szCs w:val="21"/>
                <w:highlight w:val="none"/>
                <w:lang w:val="en-US" w:eastAsia="zh-CN"/>
              </w:rPr>
              <w:t>服务方案</w:t>
            </w:r>
            <w:r>
              <w:rPr>
                <w:rFonts w:ascii="宋体" w:hAnsi="宋体"/>
                <w:color w:val="auto"/>
                <w:sz w:val="21"/>
                <w:szCs w:val="21"/>
                <w:highlight w:val="none"/>
              </w:rPr>
              <w:t>（</w:t>
            </w:r>
            <w:r>
              <w:rPr>
                <w:rFonts w:hint="eastAsia" w:ascii="宋体" w:hAnsi="宋体"/>
                <w:color w:val="auto"/>
                <w:sz w:val="21"/>
                <w:szCs w:val="21"/>
                <w:highlight w:val="none"/>
                <w:lang w:val="en-US" w:eastAsia="zh-CN"/>
              </w:rPr>
              <w:t>10</w:t>
            </w:r>
            <w:r>
              <w:rPr>
                <w:rFonts w:ascii="宋体" w:hAnsi="宋体"/>
                <w:color w:val="auto"/>
                <w:sz w:val="21"/>
                <w:szCs w:val="21"/>
                <w:highlight w:val="none"/>
              </w:rPr>
              <w:t>分）</w:t>
            </w:r>
          </w:p>
        </w:tc>
        <w:tc>
          <w:tcPr>
            <w:tcW w:w="4764" w:type="dxa"/>
            <w:noWrap w:val="0"/>
            <w:vAlign w:val="center"/>
          </w:tcPr>
          <w:p>
            <w:pPr>
              <w:jc w:val="left"/>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服务方案优良（人员经验丰富、进度计划合理、有保障）</w:t>
            </w:r>
          </w:p>
        </w:tc>
        <w:tc>
          <w:tcPr>
            <w:tcW w:w="1184" w:type="dxa"/>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7-10分</w:t>
            </w:r>
          </w:p>
        </w:tc>
        <w:tc>
          <w:tcPr>
            <w:tcW w:w="1200" w:type="dxa"/>
            <w:vMerge w:val="restart"/>
            <w:noWrap w:val="0"/>
            <w:vAlign w:val="top"/>
          </w:tcPr>
          <w:p>
            <w:pPr>
              <w:rPr>
                <w:rFonts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53" w:type="dxa"/>
            <w:vMerge w:val="continue"/>
            <w:noWrap w:val="0"/>
            <w:vAlign w:val="center"/>
          </w:tcPr>
          <w:p>
            <w:pPr>
              <w:jc w:val="left"/>
            </w:pPr>
          </w:p>
        </w:tc>
        <w:tc>
          <w:tcPr>
            <w:tcW w:w="1052" w:type="dxa"/>
            <w:vMerge w:val="continue"/>
            <w:noWrap w:val="0"/>
            <w:vAlign w:val="center"/>
          </w:tcPr>
          <w:p>
            <w:pPr>
              <w:jc w:val="left"/>
            </w:pPr>
          </w:p>
        </w:tc>
        <w:tc>
          <w:tcPr>
            <w:tcW w:w="4764" w:type="dxa"/>
            <w:noWrap w:val="0"/>
            <w:vAlign w:val="center"/>
          </w:tcPr>
          <w:p>
            <w:pPr>
              <w:jc w:val="left"/>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服务方案良好（人员配置良好、进度计划满足要求）</w:t>
            </w:r>
          </w:p>
        </w:tc>
        <w:tc>
          <w:tcPr>
            <w:tcW w:w="1184" w:type="dxa"/>
            <w:noWrap w:val="0"/>
            <w:vAlign w:val="center"/>
          </w:tcPr>
          <w:p>
            <w:pPr>
              <w:jc w:val="center"/>
              <w:rPr>
                <w:rFonts w:hint="default"/>
                <w:highlight w:val="none"/>
                <w:lang w:val="en-US" w:eastAsia="zh-CN"/>
              </w:rPr>
            </w:pPr>
            <w:r>
              <w:rPr>
                <w:rFonts w:hint="eastAsia"/>
                <w:highlight w:val="none"/>
                <w:lang w:val="en-US" w:eastAsia="zh-CN"/>
              </w:rPr>
              <w:t>4-6分</w:t>
            </w:r>
          </w:p>
        </w:tc>
        <w:tc>
          <w:tcPr>
            <w:tcW w:w="1200" w:type="dxa"/>
            <w:vMerge w:val="continue"/>
            <w:noWrap w:val="0"/>
            <w:vAlign w:val="top"/>
          </w:tcPr>
          <w:p>
            <w:pPr>
              <w:jc w:val="left"/>
              <w:rPr>
                <w:rFonts w:hint="default"/>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553" w:type="dxa"/>
            <w:vMerge w:val="continue"/>
            <w:noWrap w:val="0"/>
            <w:vAlign w:val="center"/>
          </w:tcPr>
          <w:p>
            <w:pPr>
              <w:jc w:val="left"/>
              <w:rPr>
                <w:rFonts w:hint="default"/>
                <w:highlight w:val="none"/>
                <w:lang w:val="en-US" w:eastAsia="zh-CN"/>
              </w:rPr>
            </w:pPr>
          </w:p>
        </w:tc>
        <w:tc>
          <w:tcPr>
            <w:tcW w:w="1052" w:type="dxa"/>
            <w:vMerge w:val="continue"/>
            <w:noWrap w:val="0"/>
            <w:vAlign w:val="center"/>
          </w:tcPr>
          <w:p>
            <w:pPr>
              <w:jc w:val="left"/>
              <w:rPr>
                <w:rFonts w:hint="default"/>
                <w:highlight w:val="none"/>
                <w:lang w:val="en-US" w:eastAsia="zh-CN"/>
              </w:rPr>
            </w:pPr>
          </w:p>
        </w:tc>
        <w:tc>
          <w:tcPr>
            <w:tcW w:w="4764" w:type="dxa"/>
            <w:noWrap w:val="0"/>
            <w:vAlign w:val="center"/>
          </w:tcPr>
          <w:p>
            <w:pPr>
              <w:jc w:val="left"/>
              <w:rPr>
                <w:rFonts w:hint="default"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服务方案一般</w:t>
            </w:r>
            <w:r>
              <w:rPr>
                <w:rFonts w:hint="eastAsia"/>
                <w:color w:val="auto"/>
                <w:sz w:val="21"/>
                <w:szCs w:val="21"/>
                <w:highlight w:val="none"/>
                <w:lang w:val="en-US" w:eastAsia="zh-CN"/>
              </w:rPr>
              <w:t>（人员配置一般、进度计划不合理，难以满足要求）</w:t>
            </w:r>
          </w:p>
        </w:tc>
        <w:tc>
          <w:tcPr>
            <w:tcW w:w="1184" w:type="dxa"/>
            <w:noWrap w:val="0"/>
            <w:vAlign w:val="center"/>
          </w:tcPr>
          <w:p>
            <w:pPr>
              <w:jc w:val="center"/>
              <w:rPr>
                <w:rFonts w:hint="default"/>
                <w:highlight w:val="none"/>
                <w:lang w:val="en-US" w:eastAsia="zh-CN"/>
              </w:rPr>
            </w:pPr>
            <w:r>
              <w:rPr>
                <w:rFonts w:hint="eastAsia"/>
                <w:highlight w:val="none"/>
                <w:lang w:val="en-US" w:eastAsia="zh-CN"/>
              </w:rPr>
              <w:t>1-3分</w:t>
            </w:r>
          </w:p>
        </w:tc>
        <w:tc>
          <w:tcPr>
            <w:tcW w:w="1200" w:type="dxa"/>
            <w:vMerge w:val="continue"/>
            <w:noWrap w:val="0"/>
            <w:vAlign w:val="top"/>
          </w:tcPr>
          <w:p>
            <w:pPr>
              <w:jc w:val="left"/>
              <w:rPr>
                <w:rFonts w:hint="default"/>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3" w:type="dxa"/>
            <w:noWrap w:val="0"/>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5</w:t>
            </w:r>
          </w:p>
        </w:tc>
        <w:tc>
          <w:tcPr>
            <w:tcW w:w="7000" w:type="dxa"/>
            <w:gridSpan w:val="3"/>
            <w:noWrap w:val="0"/>
            <w:vAlign w:val="center"/>
          </w:tcPr>
          <w:p>
            <w:pPr>
              <w:jc w:val="center"/>
              <w:rPr>
                <w:rFonts w:ascii="宋体" w:hAnsi="宋体"/>
                <w:color w:val="auto"/>
                <w:sz w:val="21"/>
                <w:szCs w:val="21"/>
                <w:highlight w:val="none"/>
              </w:rPr>
            </w:pPr>
            <w:r>
              <w:rPr>
                <w:rFonts w:ascii="宋体" w:hAnsi="宋体"/>
                <w:color w:val="auto"/>
                <w:sz w:val="21"/>
                <w:szCs w:val="21"/>
                <w:highlight w:val="none"/>
              </w:rPr>
              <w:t>合   计</w:t>
            </w:r>
          </w:p>
        </w:tc>
        <w:tc>
          <w:tcPr>
            <w:tcW w:w="1200" w:type="dxa"/>
            <w:noWrap w:val="0"/>
            <w:vAlign w:val="top"/>
          </w:tcPr>
          <w:p>
            <w:pPr>
              <w:rPr>
                <w:rFonts w:ascii="宋体" w:hAnsi="宋体"/>
                <w:color w:val="auto"/>
                <w:sz w:val="21"/>
                <w:szCs w:val="21"/>
                <w:highlight w:val="none"/>
              </w:rPr>
            </w:pPr>
          </w:p>
        </w:tc>
      </w:tr>
    </w:tbl>
    <w:p>
      <w:pPr>
        <w:spacing w:line="360" w:lineRule="auto"/>
        <w:jc w:val="center"/>
        <w:rPr>
          <w:rFonts w:ascii="仿宋" w:hAnsi="仿宋" w:eastAsia="仿宋" w:cs="仿宋"/>
          <w:b/>
          <w:bCs/>
          <w:color w:val="auto"/>
          <w:szCs w:val="21"/>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autoSpaceDE w:val="0"/>
        <w:autoSpaceDN w:val="0"/>
        <w:adjustRightInd w:val="0"/>
        <w:spacing w:line="360" w:lineRule="auto"/>
        <w:rPr>
          <w:rFonts w:hint="eastAsia" w:ascii="仿宋" w:hAnsi="仿宋" w:eastAsia="仿宋" w:cs="仿宋"/>
          <w:b/>
          <w:color w:val="auto"/>
          <w:sz w:val="28"/>
          <w:szCs w:val="28"/>
          <w:highlight w:val="none"/>
          <w:lang w:val="en-US" w:eastAsia="zh-CN"/>
        </w:rPr>
      </w:pPr>
      <w:r>
        <w:rPr>
          <w:rFonts w:hint="eastAsia" w:ascii="仿宋" w:hAnsi="仿宋" w:eastAsia="仿宋" w:cs="仿宋"/>
          <w:b/>
          <w:bCs/>
          <w:color w:val="auto"/>
          <w:szCs w:val="21"/>
          <w:highlight w:val="none"/>
        </w:rPr>
        <w:t>附表</w:t>
      </w:r>
      <w:r>
        <w:rPr>
          <w:rFonts w:hint="eastAsia" w:ascii="仿宋" w:hAnsi="仿宋" w:eastAsia="仿宋" w:cs="仿宋"/>
          <w:b/>
          <w:bCs/>
          <w:color w:val="auto"/>
          <w:szCs w:val="21"/>
          <w:highlight w:val="none"/>
          <w:lang w:val="en-US" w:eastAsia="zh-CN"/>
        </w:rPr>
        <w:t>8</w:t>
      </w:r>
    </w:p>
    <w:p>
      <w:pPr>
        <w:ind w:firstLine="420"/>
        <w:jc w:val="center"/>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投标报价计分表</w:t>
      </w:r>
      <w:r>
        <w:rPr>
          <w:rFonts w:hint="eastAsia" w:ascii="仿宋" w:hAnsi="仿宋" w:eastAsia="仿宋" w:cs="仿宋"/>
          <w:b/>
          <w:color w:val="auto"/>
          <w:sz w:val="28"/>
          <w:szCs w:val="28"/>
          <w:highlight w:val="none"/>
          <w:lang w:eastAsia="zh-CN"/>
        </w:rPr>
        <w:t>（</w:t>
      </w:r>
      <w:r>
        <w:rPr>
          <w:rFonts w:hint="eastAsia" w:ascii="仿宋" w:hAnsi="仿宋" w:eastAsia="仿宋" w:cs="仿宋"/>
          <w:b/>
          <w:color w:val="auto"/>
          <w:sz w:val="28"/>
          <w:szCs w:val="28"/>
          <w:highlight w:val="none"/>
          <w:lang w:val="en-US" w:eastAsia="zh-CN"/>
        </w:rPr>
        <w:t>本表满分100分，按30%计入综合评分</w:t>
      </w:r>
      <w:r>
        <w:rPr>
          <w:rFonts w:hint="eastAsia" w:ascii="仿宋" w:hAnsi="仿宋" w:eastAsia="仿宋" w:cs="仿宋"/>
          <w:b/>
          <w:color w:val="auto"/>
          <w:sz w:val="28"/>
          <w:szCs w:val="28"/>
          <w:highlight w:val="none"/>
          <w:lang w:eastAsia="zh-CN"/>
        </w:rPr>
        <w:t>）</w:t>
      </w:r>
    </w:p>
    <w:tbl>
      <w:tblPr>
        <w:tblStyle w:val="33"/>
        <w:tblW w:w="9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7"/>
        <w:gridCol w:w="1461"/>
        <w:gridCol w:w="2318"/>
        <w:gridCol w:w="1874"/>
        <w:gridCol w:w="1188"/>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647"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3779"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项       目</w:t>
            </w:r>
          </w:p>
        </w:tc>
        <w:tc>
          <w:tcPr>
            <w:tcW w:w="1874"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评分标准</w:t>
            </w:r>
          </w:p>
        </w:tc>
        <w:tc>
          <w:tcPr>
            <w:tcW w:w="2808"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4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p>
          <w:p>
            <w:pPr>
              <w:jc w:val="center"/>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3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p>
            <w:pPr>
              <w:jc w:val="center"/>
              <w:rPr>
                <w:rFonts w:hint="eastAsia" w:ascii="宋体" w:hAnsi="宋体" w:cs="宋体"/>
                <w:bCs/>
                <w:color w:val="auto"/>
                <w:szCs w:val="21"/>
                <w:highlight w:val="none"/>
              </w:rPr>
            </w:pPr>
            <w:r>
              <w:rPr>
                <w:rFonts w:hint="eastAsia" w:ascii="宋体" w:hAnsi="宋体" w:cs="宋体"/>
                <w:bCs/>
                <w:color w:val="auto"/>
                <w:szCs w:val="21"/>
                <w:highlight w:val="none"/>
              </w:rPr>
              <w:t>投标报价＞基准价</w:t>
            </w:r>
          </w:p>
          <w:p>
            <w:pPr>
              <w:rPr>
                <w:rFonts w:hint="eastAsia" w:ascii="宋体" w:hAnsi="宋体" w:cs="宋体"/>
                <w:bCs/>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r>
              <w:rPr>
                <w:rFonts w:hint="eastAsia" w:ascii="宋体" w:hAnsi="宋体" w:cs="宋体"/>
                <w:bCs/>
                <w:color w:val="auto"/>
                <w:szCs w:val="21"/>
                <w:highlight w:val="none"/>
              </w:rPr>
              <w:t>从0开始每升1%减</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分，即</w:t>
            </w:r>
            <w:r>
              <w:rPr>
                <w:rFonts w:hint="eastAsia" w:ascii="宋体" w:hAnsi="宋体" w:cs="宋体"/>
                <w:bCs/>
                <w:color w:val="auto"/>
                <w:szCs w:val="21"/>
                <w:highlight w:val="none"/>
                <w:lang w:val="en-US" w:eastAsia="zh-CN"/>
              </w:rPr>
              <w:t>100</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*100X</w:t>
            </w:r>
          </w:p>
        </w:tc>
        <w:tc>
          <w:tcPr>
            <w:tcW w:w="2808" w:type="dxa"/>
            <w:gridSpan w:val="2"/>
            <w:vMerge w:val="restart"/>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bCs/>
                <w:color w:val="auto"/>
                <w:szCs w:val="21"/>
                <w:highlight w:val="none"/>
              </w:rPr>
            </w:pPr>
          </w:p>
          <w:p>
            <w:pPr>
              <w:rPr>
                <w:rFonts w:hint="eastAsia" w:ascii="宋体" w:hAnsi="宋体" w:cs="宋体"/>
                <w:bCs/>
                <w:color w:val="auto"/>
                <w:szCs w:val="21"/>
                <w:highlight w:val="none"/>
              </w:rPr>
            </w:pPr>
            <w:r>
              <w:rPr>
                <w:rFonts w:hint="eastAsia" w:ascii="宋体" w:hAnsi="宋体" w:cs="宋体"/>
                <w:bCs/>
                <w:color w:val="auto"/>
                <w:szCs w:val="21"/>
                <w:highlight w:val="none"/>
              </w:rPr>
              <w:t>X为投标价升、降率百分点数的绝对值，即</w:t>
            </w:r>
          </w:p>
          <w:p>
            <w:pPr>
              <w:ind w:firstLine="210" w:firstLineChars="10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100330</wp:posOffset>
                      </wp:positionV>
                      <wp:extent cx="3175" cy="510540"/>
                      <wp:effectExtent l="4445" t="0" r="11430" b="3810"/>
                      <wp:wrapNone/>
                      <wp:docPr id="13" name="直接连接符 13"/>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7.9pt;height:40.2pt;width:0.25pt;z-index:251667456;mso-width-relative:page;mso-height-relative:page;" filled="f" stroked="t" coordsize="21600,21600" o:gfxdata="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8cDNr0QAAAAMBAAAPAAAA&#10;AAAAAAEAIAAAACIAAABkcnMvZG93bnJldi54bWxQSwECFAAUAAAACACHTuJAN6mUD+MBAACoAwAA&#10;DgAAAAAAAAABACAAAAAgAQAAZHJzL2Uyb0RvYy54bWxQSwUGAAAAAAYABgBZAQAAdQU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投标价</w:t>
            </w:r>
            <w:r>
              <w:rPr>
                <w:rFonts w:hint="eastAsia" w:ascii="宋体" w:hAnsi="宋体" w:cs="宋体"/>
                <w:bCs/>
                <w:color w:val="auto"/>
                <w:szCs w:val="21"/>
                <w:highlight w:val="none"/>
              </w:rPr>
              <mc:AlternateContent>
                <mc:Choice Requires="wps">
                  <w:drawing>
                    <wp:anchor distT="0" distB="0" distL="114300" distR="114300" simplePos="0" relativeHeight="251666432" behindDoc="0" locked="0" layoutInCell="1" allowOverlap="1">
                      <wp:simplePos x="0" y="0"/>
                      <wp:positionH relativeFrom="column">
                        <wp:posOffset>1191895</wp:posOffset>
                      </wp:positionH>
                      <wp:positionV relativeFrom="paragraph">
                        <wp:posOffset>75565</wp:posOffset>
                      </wp:positionV>
                      <wp:extent cx="635" cy="495300"/>
                      <wp:effectExtent l="0" t="0" r="0" b="0"/>
                      <wp:wrapNone/>
                      <wp:docPr id="11" name="直接连接符 11"/>
                      <wp:cNvGraphicFramePr/>
                      <a:graphic xmlns:a="http://schemas.openxmlformats.org/drawingml/2006/main">
                        <a:graphicData uri="http://schemas.microsoft.com/office/word/2010/wordprocessingShape">
                          <wps:wsp>
                            <wps:cNvCnPr/>
                            <wps:spPr>
                              <a:xfrm flipH="1" flipV="1">
                                <a:off x="0" y="0"/>
                                <a:ext cx="63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93.85pt;margin-top:5.95pt;height:39pt;width:0.05pt;z-index:251666432;mso-width-relative:page;mso-height-relative:page;" filled="f" stroked="t" coordsize="21600,21600" o:gfxdata="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BoR&#10;9tIAAAAJAQAADwAAAAAAAAABACAAAAAiAAAAZHJzL2Rvd25yZXYueG1sUEsBAhQAFAAAAAgAh07i&#10;QJ6gFMnvAQAAuwMAAA4AAAAAAAAAAQAgAAAAIQEAAGRycy9lMm9Eb2MueG1sUEsFBgAAAAAGAAYA&#10;WQEAAIIFA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—基准价</w:t>
            </w:r>
          </w:p>
          <w:p>
            <w:pPr>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73660</wp:posOffset>
                      </wp:positionV>
                      <wp:extent cx="8636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63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6pt;margin-top:5.8pt;height:0pt;width:68pt;z-index:251665408;mso-width-relative:page;mso-height-relative:page;" filled="f" stroked="t" coordsize="21600,21600" o:gfxdata="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mKGXTAAAACAEA&#10;AA8AAAAAAAAAAQAgAAAAIgAAAGRycy9kb3ducmV2LnhtbFBLAQIUABQAAAAIAIdO4kDWd9pg5gEA&#10;AK8DAAAOAAAAAAAAAAEAIAAAACIBAABkcnMvZTJvRG9jLnhtbFBLBQYAAAAABgAGAFkBAAB6BQAA&#10;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                  ×100%</w:t>
            </w:r>
          </w:p>
          <w:p>
            <w:pPr>
              <w:rPr>
                <w:rFonts w:hint="eastAsia" w:ascii="宋体" w:hAnsi="宋体" w:cs="宋体"/>
                <w:bCs/>
                <w:color w:val="auto"/>
                <w:szCs w:val="21"/>
                <w:highlight w:val="none"/>
              </w:rPr>
            </w:pPr>
            <w:r>
              <w:rPr>
                <w:rFonts w:hint="eastAsia" w:ascii="宋体" w:hAnsi="宋体" w:cs="宋体"/>
                <w:bCs/>
                <w:color w:val="auto"/>
                <w:szCs w:val="21"/>
                <w:highlight w:val="none"/>
              </w:rPr>
              <w:t xml:space="preserve">      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37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投标报价=基准价</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100</w:t>
            </w:r>
            <w:r>
              <w:rPr>
                <w:rFonts w:hint="eastAsia" w:ascii="宋体" w:hAnsi="宋体" w:cs="宋体"/>
                <w:bCs/>
                <w:color w:val="auto"/>
                <w:szCs w:val="21"/>
                <w:highlight w:val="none"/>
              </w:rPr>
              <w:t>分</w:t>
            </w:r>
          </w:p>
        </w:tc>
        <w:tc>
          <w:tcPr>
            <w:tcW w:w="2808"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64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3</w:t>
            </w:r>
          </w:p>
        </w:tc>
        <w:tc>
          <w:tcPr>
            <w:tcW w:w="37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p>
            <w:pPr>
              <w:jc w:val="center"/>
              <w:rPr>
                <w:rFonts w:hint="eastAsia" w:ascii="宋体" w:hAnsi="宋体" w:cs="宋体"/>
                <w:bCs/>
                <w:color w:val="auto"/>
                <w:szCs w:val="21"/>
                <w:highlight w:val="none"/>
              </w:rPr>
            </w:pPr>
            <w:r>
              <w:rPr>
                <w:rFonts w:hint="eastAsia" w:ascii="宋体" w:hAnsi="宋体" w:cs="宋体"/>
                <w:bCs/>
                <w:color w:val="auto"/>
                <w:szCs w:val="21"/>
                <w:highlight w:val="none"/>
              </w:rPr>
              <w:t>投标报价＜基准价</w:t>
            </w:r>
          </w:p>
          <w:p>
            <w:pPr>
              <w:rPr>
                <w:rFonts w:hint="eastAsia" w:ascii="宋体" w:hAnsi="宋体" w:cs="宋体"/>
                <w:bCs/>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r>
              <w:rPr>
                <w:rFonts w:hint="eastAsia" w:ascii="宋体" w:hAnsi="宋体" w:cs="宋体"/>
                <w:bCs/>
                <w:color w:val="auto"/>
                <w:szCs w:val="21"/>
                <w:highlight w:val="none"/>
              </w:rPr>
              <w:t>从0开始每降1%</w:t>
            </w:r>
            <w:r>
              <w:rPr>
                <w:rFonts w:hint="eastAsia" w:ascii="宋体" w:hAnsi="宋体" w:cs="宋体"/>
                <w:bCs/>
                <w:color w:val="auto"/>
                <w:szCs w:val="21"/>
                <w:highlight w:val="none"/>
                <w:lang w:eastAsia="zh-CN"/>
              </w:rPr>
              <w:t>减</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分，即</w:t>
            </w:r>
            <w:r>
              <w:rPr>
                <w:rFonts w:hint="eastAsia" w:ascii="宋体" w:hAnsi="宋体" w:cs="宋体"/>
                <w:bCs/>
                <w:color w:val="auto"/>
                <w:szCs w:val="21"/>
                <w:highlight w:val="none"/>
                <w:lang w:val="en-US" w:eastAsia="zh-CN"/>
              </w:rPr>
              <w:t>100-1</w:t>
            </w:r>
            <w:r>
              <w:rPr>
                <w:rFonts w:hint="eastAsia" w:ascii="宋体" w:hAnsi="宋体" w:cs="宋体"/>
                <w:bCs/>
                <w:color w:val="auto"/>
                <w:szCs w:val="21"/>
                <w:highlight w:val="none"/>
              </w:rPr>
              <w:t>*100X</w:t>
            </w:r>
          </w:p>
        </w:tc>
        <w:tc>
          <w:tcPr>
            <w:tcW w:w="2808"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108"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参选人</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投标报价</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基准价</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X值</w:t>
            </w:r>
          </w:p>
        </w:tc>
        <w:tc>
          <w:tcPr>
            <w:tcW w:w="162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108"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87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620"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108"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620"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108"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620"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2108" w:type="dxa"/>
            <w:gridSpan w:val="2"/>
            <w:tcBorders>
              <w:top w:val="single" w:color="auto" w:sz="4" w:space="0"/>
              <w:left w:val="single" w:color="auto" w:sz="12"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87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auto"/>
                <w:szCs w:val="21"/>
                <w:highlight w:val="none"/>
              </w:rPr>
            </w:pPr>
          </w:p>
        </w:tc>
        <w:tc>
          <w:tcPr>
            <w:tcW w:w="1620"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108" w:type="dxa"/>
            <w:gridSpan w:val="6"/>
            <w:tcBorders>
              <w:top w:val="single" w:color="auto" w:sz="4" w:space="0"/>
              <w:left w:val="single" w:color="auto" w:sz="12" w:space="0"/>
              <w:bottom w:val="single" w:color="auto" w:sz="12" w:space="0"/>
              <w:right w:val="single" w:color="auto" w:sz="12" w:space="0"/>
            </w:tcBorders>
            <w:noWrap w:val="0"/>
            <w:vAlign w:val="center"/>
          </w:tcPr>
          <w:p>
            <w:pPr>
              <w:rPr>
                <w:rFonts w:hint="eastAsia" w:ascii="宋体" w:hAnsi="宋体" w:cs="宋体"/>
                <w:bCs/>
                <w:color w:val="auto"/>
                <w:szCs w:val="21"/>
                <w:highlight w:val="none"/>
              </w:rPr>
            </w:pPr>
            <w:r>
              <w:rPr>
                <w:rFonts w:hint="eastAsia" w:ascii="宋体" w:hAnsi="宋体" w:cs="宋体"/>
                <w:bCs/>
                <w:color w:val="auto"/>
                <w:szCs w:val="21"/>
                <w:highlight w:val="none"/>
              </w:rPr>
              <w:t>对投标报价的调整记录：</w:t>
            </w:r>
          </w:p>
        </w:tc>
      </w:tr>
    </w:tbl>
    <w:p>
      <w:pPr>
        <w:spacing w:line="360" w:lineRule="exact"/>
        <w:ind w:left="-420" w:leftChars="-200"/>
        <w:rPr>
          <w:rFonts w:hint="eastAsia" w:ascii="宋体" w:hAnsi="宋体" w:cs="宋体"/>
          <w:color w:val="auto"/>
          <w:szCs w:val="21"/>
          <w:highlight w:val="none"/>
        </w:rPr>
      </w:pPr>
      <w:r>
        <w:rPr>
          <w:rFonts w:hint="eastAsia" w:ascii="宋体" w:hAnsi="宋体" w:cs="宋体"/>
          <w:color w:val="auto"/>
          <w:szCs w:val="21"/>
          <w:highlight w:val="none"/>
        </w:rPr>
        <w:t>备注：1．投标报价得分，基本分</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分。</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2．除经初步评审为不合格</w:t>
      </w:r>
      <w:r>
        <w:rPr>
          <w:rFonts w:hint="eastAsia" w:ascii="宋体" w:hAnsi="宋体" w:cs="宋体"/>
          <w:color w:val="auto"/>
          <w:szCs w:val="21"/>
          <w:highlight w:val="none"/>
          <w:lang w:eastAsia="zh-CN"/>
        </w:rPr>
        <w:t>参选人</w:t>
      </w:r>
      <w:r>
        <w:rPr>
          <w:rFonts w:hint="eastAsia" w:ascii="宋体" w:hAnsi="宋体" w:cs="宋体"/>
          <w:color w:val="auto"/>
          <w:szCs w:val="21"/>
          <w:highlight w:val="none"/>
        </w:rPr>
        <w:t>（包括投标报价文件无效）的和被认定为投标报价低于其企业成本的外，其他的投标报价均应按规定进入最终投标价的算术平均。</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3．符合以下条件的投标报价进入基准价计算：最高投标限价≥投标价≥0.9</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×投标价的算术平均值。</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 xml:space="preserve">4．基准价公式： </w:t>
      </w:r>
    </w:p>
    <w:p>
      <w:pPr>
        <w:ind w:left="-420" w:leftChars="-200" w:right="-331" w:rightChars="-158" w:firstLine="1050" w:firstLineChars="500"/>
        <w:rPr>
          <w:rFonts w:hint="eastAsia" w:ascii="宋体" w:hAnsi="宋体" w:cs="宋体"/>
          <w:bCs/>
          <w:color w:val="auto"/>
          <w:szCs w:val="21"/>
          <w:highlight w:val="none"/>
        </w:rPr>
      </w:pPr>
      <w:r>
        <w:rPr>
          <w:rFonts w:hint="eastAsia" w:ascii="宋体" w:hAnsi="宋体" w:cs="宋体"/>
          <w:bCs/>
          <w:color w:val="auto"/>
          <w:szCs w:val="21"/>
          <w:highlight w:val="none"/>
        </w:rPr>
        <w:t>A</w:t>
      </w:r>
      <w:r>
        <w:rPr>
          <w:rFonts w:hint="eastAsia" w:ascii="宋体" w:hAnsi="宋体" w:cs="宋体"/>
          <w:bCs/>
          <w:color w:val="auto"/>
          <w:szCs w:val="21"/>
          <w:highlight w:val="none"/>
          <w:vertAlign w:val="subscript"/>
        </w:rPr>
        <w:t>1</w:t>
      </w:r>
      <w:r>
        <w:rPr>
          <w:rFonts w:hint="eastAsia" w:ascii="宋体" w:hAnsi="宋体" w:cs="宋体"/>
          <w:bCs/>
          <w:color w:val="auto"/>
          <w:szCs w:val="21"/>
          <w:highlight w:val="none"/>
        </w:rPr>
        <w:t>+A</w:t>
      </w:r>
      <w:r>
        <w:rPr>
          <w:rFonts w:hint="eastAsia" w:ascii="宋体" w:hAnsi="宋体" w:cs="宋体"/>
          <w:bCs/>
          <w:color w:val="auto"/>
          <w:szCs w:val="21"/>
          <w:highlight w:val="none"/>
          <w:vertAlign w:val="subscript"/>
        </w:rPr>
        <w:t>2</w:t>
      </w:r>
      <w:r>
        <w:rPr>
          <w:rFonts w:hint="eastAsia" w:ascii="宋体" w:hAnsi="宋体" w:cs="宋体"/>
          <w:bCs/>
          <w:color w:val="auto"/>
          <w:szCs w:val="21"/>
          <w:highlight w:val="none"/>
        </w:rPr>
        <w:t>+……＋A</w:t>
      </w:r>
      <w:r>
        <w:rPr>
          <w:rFonts w:hint="eastAsia" w:ascii="宋体" w:hAnsi="宋体" w:cs="宋体"/>
          <w:bCs/>
          <w:color w:val="auto"/>
          <w:szCs w:val="21"/>
          <w:highlight w:val="none"/>
          <w:vertAlign w:val="subscript"/>
        </w:rPr>
        <w:t>i</w:t>
      </w:r>
      <w:r>
        <w:rPr>
          <w:rFonts w:hint="eastAsia" w:ascii="宋体" w:hAnsi="宋体" w:cs="宋体"/>
          <w:bCs/>
          <w:color w:val="auto"/>
          <w:szCs w:val="21"/>
          <w:highlight w:val="none"/>
        </w:rPr>
        <w:t>+……＋A</w:t>
      </w:r>
      <w:r>
        <w:rPr>
          <w:rFonts w:hint="eastAsia" w:ascii="宋体" w:hAnsi="宋体" w:cs="宋体"/>
          <w:bCs/>
          <w:color w:val="auto"/>
          <w:szCs w:val="21"/>
          <w:highlight w:val="none"/>
          <w:vertAlign w:val="subscript"/>
        </w:rPr>
        <w:t>n</w:t>
      </w:r>
    </w:p>
    <w:p>
      <w:pPr>
        <w:ind w:left="-420" w:leftChars="-200" w:right="-331" w:rightChars="-158" w:firstLine="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1905</wp:posOffset>
                </wp:positionV>
                <wp:extent cx="15195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51955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8pt;margin-top:0.15pt;height:0.05pt;width:119.65pt;z-index:251668480;mso-width-relative:page;mso-height-relative:page;" filled="f" stroked="t" coordsize="21600,21600" o:gfxdata="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yQnK1AAAAAQBAAAPAAAA&#10;AAAAAAEAIAAAACIAAABkcnMvZG93bnJldi54bWxQSwECFAAUAAAACACHTuJAIvq3W+ABAACoAwAA&#10;DgAAAAAAAAABACAAAAAjAQAAZHJzL2Uyb0RvYy54bWxQSwUGAAAAAAYABgBZAQAAdQU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基准价=</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 xml:space="preserve"> N           </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i=1…i…n; Ai为进入基准价计算的投标价; N为进入基准价计算的投标价的个数。</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5． 投标价以人民币万元为单位，计算保留至小数点后2位（百分比亦然），小数点后第3位采取4舍5入。</w:t>
      </w:r>
    </w:p>
    <w:p>
      <w:pPr>
        <w:spacing w:line="360" w:lineRule="exact"/>
        <w:ind w:left="-420" w:leftChars="-200" w:firstLine="0" w:firstLineChars="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本项</w:t>
      </w:r>
      <w:r>
        <w:rPr>
          <w:rFonts w:hint="eastAsia" w:ascii="宋体" w:hAnsi="宋体" w:cs="宋体"/>
          <w:color w:val="auto"/>
          <w:szCs w:val="21"/>
          <w:highlight w:val="none"/>
        </w:rPr>
        <w:t>最高得分100分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按30%计入总价</w:t>
      </w:r>
      <w:r>
        <w:rPr>
          <w:rFonts w:hint="eastAsia" w:ascii="宋体" w:hAnsi="宋体" w:cs="宋体"/>
          <w:color w:val="auto"/>
          <w:szCs w:val="21"/>
          <w:highlight w:val="none"/>
        </w:rPr>
        <w:t>。</w:t>
      </w:r>
    </w:p>
    <w:p>
      <w:pPr>
        <w:spacing w:line="360" w:lineRule="exact"/>
        <w:ind w:left="-420" w:leftChars="-200" w:firstLine="0" w:firstLineChars="0"/>
        <w:rPr>
          <w:rFonts w:hint="default" w:ascii="宋体" w:hAnsi="宋体" w:cs="宋体"/>
          <w:color w:val="auto"/>
          <w:kern w:val="0"/>
          <w:szCs w:val="21"/>
          <w:highlight w:val="none"/>
          <w:lang w:val="en-US" w:eastAsia="zh-CN"/>
        </w:rPr>
      </w:pPr>
      <w:r>
        <w:rPr>
          <w:rFonts w:hint="eastAsia" w:ascii="宋体" w:hAnsi="宋体" w:cs="宋体"/>
          <w:color w:val="auto"/>
          <w:szCs w:val="21"/>
          <w:highlight w:val="none"/>
        </w:rPr>
        <w:t>7.本项目只对投标总报价进行计分评审。</w:t>
      </w:r>
      <w:r>
        <w:rPr>
          <w:rFonts w:hint="eastAsia" w:ascii="仿宋" w:hAnsi="仿宋" w:eastAsia="仿宋" w:cs="仿宋"/>
          <w:b/>
          <w:bCs/>
          <w:color w:val="auto"/>
          <w:szCs w:val="21"/>
          <w:highlight w:val="none"/>
          <w:lang w:val="en-US" w:eastAsia="zh-CN"/>
        </w:rPr>
        <w:t xml:space="preserve">  </w:t>
      </w:r>
    </w:p>
    <w:p>
      <w:pPr>
        <w:pStyle w:val="2"/>
        <w:rPr>
          <w:rFonts w:hint="default" w:eastAsia="仿宋"/>
          <w:color w:val="auto"/>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418" w:right="1418" w:bottom="1418" w:left="1800" w:header="851" w:footer="992" w:gutter="0"/>
          <w:cols w:space="720" w:num="1"/>
          <w:titlePg/>
          <w:docGrid w:type="linesAndChars" w:linePitch="312" w:charSpace="0"/>
        </w:sectPr>
      </w:pPr>
      <w:r>
        <w:rPr>
          <w:rFonts w:hint="eastAsia" w:ascii="仿宋" w:hAnsi="仿宋" w:eastAsia="仿宋" w:cs="仿宋"/>
          <w:b/>
          <w:bCs/>
          <w:color w:val="auto"/>
          <w:szCs w:val="21"/>
          <w:highlight w:val="none"/>
          <w:lang w:val="en-US" w:eastAsia="zh-CN"/>
        </w:rPr>
        <w:t xml:space="preserve">  </w:t>
      </w:r>
    </w:p>
    <w:p>
      <w:pPr>
        <w:autoSpaceDE w:val="0"/>
        <w:autoSpaceDN w:val="0"/>
        <w:adjustRightInd w:val="0"/>
        <w:spacing w:line="360" w:lineRule="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附表8</w:t>
      </w:r>
    </w:p>
    <w:p>
      <w:pPr>
        <w:ind w:firstLine="420"/>
        <w:jc w:val="center"/>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评标计分汇总表</w:t>
      </w:r>
    </w:p>
    <w:tbl>
      <w:tblPr>
        <w:tblStyle w:val="3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483"/>
        <w:gridCol w:w="2865"/>
        <w:gridCol w:w="1260"/>
        <w:gridCol w:w="1260"/>
        <w:gridCol w:w="1260"/>
        <w:gridCol w:w="1260"/>
        <w:gridCol w:w="1291"/>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序号</w:t>
            </w:r>
          </w:p>
        </w:tc>
        <w:tc>
          <w:tcPr>
            <w:tcW w:w="522"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单位</w:t>
            </w:r>
          </w:p>
        </w:tc>
        <w:tc>
          <w:tcPr>
            <w:tcW w:w="1008"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评分内容</w:t>
            </w:r>
          </w:p>
        </w:tc>
        <w:tc>
          <w:tcPr>
            <w:tcW w:w="443"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评委1</w:t>
            </w:r>
          </w:p>
        </w:tc>
        <w:tc>
          <w:tcPr>
            <w:tcW w:w="443"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评委2</w:t>
            </w:r>
          </w:p>
        </w:tc>
        <w:tc>
          <w:tcPr>
            <w:tcW w:w="443"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评委3</w:t>
            </w:r>
          </w:p>
        </w:tc>
        <w:tc>
          <w:tcPr>
            <w:tcW w:w="443"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评委4</w:t>
            </w:r>
          </w:p>
        </w:tc>
        <w:tc>
          <w:tcPr>
            <w:tcW w:w="454"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评委5</w:t>
            </w:r>
          </w:p>
        </w:tc>
        <w:tc>
          <w:tcPr>
            <w:tcW w:w="506"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平均分</w:t>
            </w:r>
          </w:p>
        </w:tc>
        <w:tc>
          <w:tcPr>
            <w:tcW w:w="506" w:type="pct"/>
          </w:tcPr>
          <w:p>
            <w:pPr>
              <w:autoSpaceDE w:val="0"/>
              <w:autoSpaceDN w:val="0"/>
              <w:adjustRightInd w:val="0"/>
              <w:spacing w:line="360" w:lineRule="auto"/>
              <w:jc w:val="center"/>
              <w:rPr>
                <w:rFonts w:hint="default" w:ascii="仿宋" w:hAnsi="仿宋" w:eastAsia="仿宋" w:cs="仿宋"/>
                <w:b/>
                <w:bCs/>
                <w:color w:val="auto"/>
                <w:szCs w:val="21"/>
                <w:highlight w:val="none"/>
                <w:vertAlign w:val="baseline"/>
                <w:lang w:val="en-US" w:eastAsia="zh-CN"/>
              </w:rPr>
            </w:pPr>
            <w:r>
              <w:rPr>
                <w:rFonts w:hint="eastAsia" w:ascii="仿宋" w:hAnsi="仿宋" w:eastAsia="仿宋" w:cs="仿宋"/>
                <w:b/>
                <w:bCs/>
                <w:color w:val="auto"/>
                <w:szCs w:val="21"/>
                <w:highlight w:val="none"/>
                <w:vertAlign w:val="baseline"/>
                <w:lang w:val="en-US" w:eastAsia="zh-CN"/>
              </w:rPr>
              <w:t>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restart"/>
          </w:tcPr>
          <w:p>
            <w:pPr>
              <w:autoSpaceDE w:val="0"/>
              <w:autoSpaceDN w:val="0"/>
              <w:adjustRightInd w:val="0"/>
              <w:spacing w:line="360" w:lineRule="auto"/>
              <w:jc w:val="left"/>
              <w:rPr>
                <w:rFonts w:hint="eastAsia" w:ascii="仿宋" w:hAnsi="仿宋" w:eastAsia="仿宋" w:cs="仿宋"/>
                <w:b/>
                <w:color w:val="auto"/>
                <w:sz w:val="21"/>
                <w:szCs w:val="21"/>
                <w:highlight w:val="none"/>
                <w:lang w:val="en-US" w:eastAsia="zh-CN"/>
              </w:rPr>
            </w:pPr>
            <w:r>
              <w:rPr>
                <w:rFonts w:hint="eastAsia" w:ascii="仿宋" w:hAnsi="仿宋" w:eastAsia="仿宋" w:cs="仿宋"/>
                <w:b/>
                <w:color w:val="auto"/>
                <w:sz w:val="21"/>
                <w:szCs w:val="21"/>
                <w:highlight w:val="none"/>
                <w:lang w:val="en-US" w:eastAsia="zh-CN"/>
              </w:rPr>
              <w:t>1</w:t>
            </w:r>
          </w:p>
        </w:tc>
        <w:tc>
          <w:tcPr>
            <w:tcW w:w="522" w:type="pct"/>
            <w:vMerge w:val="restart"/>
          </w:tcPr>
          <w:p>
            <w:pPr>
              <w:autoSpaceDE w:val="0"/>
              <w:autoSpaceDN w:val="0"/>
              <w:adjustRightInd w:val="0"/>
              <w:spacing w:line="360" w:lineRule="auto"/>
              <w:jc w:val="left"/>
              <w:rPr>
                <w:rFonts w:hint="eastAsia" w:ascii="仿宋" w:hAnsi="仿宋" w:eastAsia="仿宋" w:cs="仿宋"/>
                <w:b/>
                <w:color w:val="auto"/>
                <w:sz w:val="21"/>
                <w:szCs w:val="21"/>
                <w:highlight w:val="none"/>
              </w:rPr>
            </w:pPr>
          </w:p>
        </w:tc>
        <w:tc>
          <w:tcPr>
            <w:tcW w:w="1008" w:type="pct"/>
          </w:tcPr>
          <w:p>
            <w:pPr>
              <w:autoSpaceDE w:val="0"/>
              <w:autoSpaceDN w:val="0"/>
              <w:adjustRightInd w:val="0"/>
              <w:spacing w:line="360" w:lineRule="auto"/>
              <w:jc w:val="left"/>
              <w:rPr>
                <w:rFonts w:hint="eastAsia" w:ascii="仿宋" w:hAnsi="仿宋" w:eastAsia="仿宋" w:cs="仿宋"/>
                <w:b/>
                <w:bCs/>
                <w:color w:val="auto"/>
                <w:sz w:val="21"/>
                <w:szCs w:val="21"/>
                <w:highlight w:val="none"/>
                <w:vertAlign w:val="baseline"/>
                <w:lang w:val="en-US" w:eastAsia="zh-CN"/>
              </w:rPr>
            </w:pPr>
            <w:r>
              <w:rPr>
                <w:rFonts w:hint="eastAsia" w:ascii="仿宋" w:hAnsi="仿宋" w:eastAsia="仿宋" w:cs="仿宋"/>
                <w:b/>
                <w:color w:val="auto"/>
                <w:sz w:val="21"/>
                <w:szCs w:val="21"/>
                <w:highlight w:val="none"/>
              </w:rPr>
              <w:t>实力与资信</w:t>
            </w:r>
            <w:r>
              <w:rPr>
                <w:rFonts w:hint="eastAsia" w:ascii="仿宋" w:hAnsi="仿宋" w:eastAsia="仿宋" w:cs="仿宋"/>
                <w:b/>
                <w:color w:val="auto"/>
                <w:sz w:val="21"/>
                <w:szCs w:val="21"/>
                <w:highlight w:val="none"/>
                <w:lang w:val="en-US" w:eastAsia="zh-CN"/>
              </w:rPr>
              <w:t>得分</w:t>
            </w:r>
          </w:p>
        </w:tc>
        <w:tc>
          <w:tcPr>
            <w:tcW w:w="443" w:type="pc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443" w:type="pc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443" w:type="pc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443" w:type="pc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454" w:type="pc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506" w:type="pct"/>
          </w:tcPr>
          <w:p>
            <w:pPr>
              <w:autoSpaceDE w:val="0"/>
              <w:autoSpaceDN w:val="0"/>
              <w:adjustRightInd w:val="0"/>
              <w:spacing w:line="360" w:lineRule="auto"/>
              <w:jc w:val="left"/>
              <w:rPr>
                <w:rFonts w:hint="default" w:ascii="仿宋" w:hAnsi="仿宋" w:eastAsia="仿宋" w:cs="仿宋"/>
                <w:b/>
                <w:bCs/>
                <w:color w:val="auto"/>
                <w:szCs w:val="21"/>
                <w:highlight w:val="none"/>
                <w:vertAlign w:val="baseline"/>
                <w:lang w:val="en-US" w:eastAsia="zh-CN"/>
              </w:rPr>
            </w:pPr>
          </w:p>
        </w:tc>
        <w:tc>
          <w:tcPr>
            <w:tcW w:w="506" w:type="pct"/>
            <w:vMerge w:val="restart"/>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tcPr>
          <w:p>
            <w:pPr>
              <w:autoSpaceDE w:val="0"/>
              <w:autoSpaceDN w:val="0"/>
              <w:adjustRightInd w:val="0"/>
              <w:spacing w:line="360" w:lineRule="auto"/>
              <w:jc w:val="left"/>
              <w:rPr>
                <w:rFonts w:hint="eastAsia" w:ascii="仿宋" w:hAnsi="仿宋" w:eastAsia="仿宋" w:cs="仿宋"/>
                <w:b/>
                <w:color w:val="auto"/>
                <w:sz w:val="21"/>
                <w:szCs w:val="21"/>
                <w:highlight w:val="none"/>
              </w:rPr>
            </w:pPr>
          </w:p>
        </w:tc>
        <w:tc>
          <w:tcPr>
            <w:tcW w:w="522" w:type="pct"/>
            <w:vMerge w:val="continue"/>
          </w:tcPr>
          <w:p>
            <w:pPr>
              <w:autoSpaceDE w:val="0"/>
              <w:autoSpaceDN w:val="0"/>
              <w:adjustRightInd w:val="0"/>
              <w:spacing w:line="360" w:lineRule="auto"/>
              <w:jc w:val="left"/>
              <w:rPr>
                <w:rFonts w:hint="eastAsia" w:ascii="仿宋" w:hAnsi="仿宋" w:eastAsia="仿宋" w:cs="仿宋"/>
                <w:b/>
                <w:color w:val="auto"/>
                <w:sz w:val="21"/>
                <w:szCs w:val="21"/>
                <w:highlight w:val="none"/>
              </w:rPr>
            </w:pPr>
          </w:p>
        </w:tc>
        <w:tc>
          <w:tcPr>
            <w:tcW w:w="1008" w:type="pct"/>
          </w:tcPr>
          <w:p>
            <w:pPr>
              <w:autoSpaceDE w:val="0"/>
              <w:autoSpaceDN w:val="0"/>
              <w:adjustRightInd w:val="0"/>
              <w:spacing w:line="360" w:lineRule="auto"/>
              <w:jc w:val="left"/>
              <w:rPr>
                <w:rFonts w:hint="eastAsia" w:ascii="仿宋" w:hAnsi="仿宋" w:eastAsia="仿宋" w:cs="仿宋"/>
                <w:b/>
                <w:color w:val="auto"/>
                <w:sz w:val="21"/>
                <w:szCs w:val="21"/>
                <w:highlight w:val="none"/>
                <w:lang w:val="en-US" w:eastAsia="zh-CN"/>
              </w:rPr>
            </w:pPr>
            <w:r>
              <w:rPr>
                <w:rFonts w:hint="eastAsia" w:ascii="仿宋" w:hAnsi="仿宋" w:eastAsia="仿宋" w:cs="仿宋"/>
                <w:b/>
                <w:color w:val="auto"/>
                <w:sz w:val="21"/>
                <w:szCs w:val="21"/>
                <w:highlight w:val="none"/>
              </w:rPr>
              <w:t>投标报价</w:t>
            </w:r>
            <w:r>
              <w:rPr>
                <w:rFonts w:hint="eastAsia" w:ascii="仿宋" w:hAnsi="仿宋" w:eastAsia="仿宋" w:cs="仿宋"/>
                <w:b/>
                <w:color w:val="auto"/>
                <w:sz w:val="21"/>
                <w:szCs w:val="21"/>
                <w:highlight w:val="none"/>
                <w:lang w:val="en-US" w:eastAsia="zh-CN"/>
              </w:rPr>
              <w:t>得分</w:t>
            </w:r>
          </w:p>
        </w:tc>
        <w:tc>
          <w:tcPr>
            <w:tcW w:w="2226" w:type="pct"/>
            <w:gridSpan w:val="5"/>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506" w:type="pct"/>
          </w:tcPr>
          <w:p>
            <w:pPr>
              <w:autoSpaceDE w:val="0"/>
              <w:autoSpaceDN w:val="0"/>
              <w:adjustRightInd w:val="0"/>
              <w:spacing w:line="360" w:lineRule="auto"/>
              <w:jc w:val="left"/>
              <w:rPr>
                <w:rFonts w:hint="default" w:ascii="仿宋" w:hAnsi="仿宋" w:eastAsia="仿宋" w:cs="仿宋"/>
                <w:b/>
                <w:bCs/>
                <w:color w:val="auto"/>
                <w:szCs w:val="21"/>
                <w:highlight w:val="none"/>
                <w:vertAlign w:val="baseline"/>
                <w:lang w:val="en-US" w:eastAsia="zh-CN"/>
              </w:rPr>
            </w:pPr>
          </w:p>
        </w:tc>
        <w:tc>
          <w:tcPr>
            <w:tcW w:w="506" w:type="pct"/>
            <w:vMerge w:val="continue"/>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restar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b/>
                <w:color w:val="auto"/>
                <w:sz w:val="21"/>
                <w:szCs w:val="21"/>
                <w:highlight w:val="none"/>
                <w:lang w:val="en-US" w:eastAsia="zh-CN"/>
              </w:rPr>
              <w:t>2</w:t>
            </w:r>
          </w:p>
        </w:tc>
        <w:tc>
          <w:tcPr>
            <w:tcW w:w="522" w:type="pct"/>
            <w:vMerge w:val="restar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p>
        </w:tc>
        <w:tc>
          <w:tcPr>
            <w:tcW w:w="1008"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r>
              <w:rPr>
                <w:rFonts w:hint="eastAsia" w:ascii="仿宋" w:hAnsi="仿宋" w:eastAsia="仿宋" w:cs="仿宋"/>
                <w:b/>
                <w:color w:val="auto"/>
                <w:sz w:val="21"/>
                <w:szCs w:val="21"/>
                <w:highlight w:val="none"/>
              </w:rPr>
              <w:t>实力与资信</w:t>
            </w:r>
            <w:r>
              <w:rPr>
                <w:rFonts w:hint="eastAsia" w:ascii="仿宋" w:hAnsi="仿宋" w:eastAsia="仿宋" w:cs="仿宋"/>
                <w:b/>
                <w:color w:val="auto"/>
                <w:sz w:val="21"/>
                <w:szCs w:val="21"/>
                <w:highlight w:val="none"/>
                <w:lang w:val="en-US" w:eastAsia="zh-CN"/>
              </w:rPr>
              <w:t>得分</w:t>
            </w: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54"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506" w:type="pct"/>
            <w:vAlign w:val="top"/>
          </w:tcPr>
          <w:p>
            <w:pPr>
              <w:autoSpaceDE w:val="0"/>
              <w:autoSpaceDN w:val="0"/>
              <w:adjustRightInd w:val="0"/>
              <w:spacing w:line="360" w:lineRule="auto"/>
              <w:jc w:val="left"/>
              <w:rPr>
                <w:rFonts w:hint="default" w:ascii="仿宋" w:hAnsi="仿宋" w:eastAsia="仿宋" w:cs="仿宋"/>
                <w:b/>
                <w:bCs/>
                <w:color w:val="auto"/>
                <w:kern w:val="2"/>
                <w:sz w:val="21"/>
                <w:szCs w:val="21"/>
                <w:highlight w:val="none"/>
                <w:vertAlign w:val="baseline"/>
                <w:lang w:val="en-US" w:eastAsia="zh-CN" w:bidi="ar-SA"/>
              </w:rPr>
            </w:pPr>
          </w:p>
        </w:tc>
        <w:tc>
          <w:tcPr>
            <w:tcW w:w="506" w:type="pct"/>
            <w:vMerge w:val="restar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tcPr>
          <w:p>
            <w:pPr>
              <w:autoSpaceDE w:val="0"/>
              <w:autoSpaceDN w:val="0"/>
              <w:adjustRightInd w:val="0"/>
              <w:spacing w:line="360" w:lineRule="auto"/>
              <w:jc w:val="left"/>
              <w:rPr>
                <w:rFonts w:hint="eastAsia" w:ascii="仿宋" w:hAnsi="仿宋" w:eastAsia="仿宋" w:cs="仿宋"/>
                <w:b/>
                <w:color w:val="auto"/>
                <w:sz w:val="28"/>
                <w:szCs w:val="28"/>
                <w:highlight w:val="none"/>
              </w:rPr>
            </w:pPr>
          </w:p>
        </w:tc>
        <w:tc>
          <w:tcPr>
            <w:tcW w:w="522" w:type="pct"/>
            <w:vMerge w:val="continue"/>
          </w:tcPr>
          <w:p>
            <w:pPr>
              <w:autoSpaceDE w:val="0"/>
              <w:autoSpaceDN w:val="0"/>
              <w:adjustRightInd w:val="0"/>
              <w:spacing w:line="360" w:lineRule="auto"/>
              <w:jc w:val="left"/>
              <w:rPr>
                <w:rFonts w:hint="eastAsia" w:ascii="仿宋" w:hAnsi="仿宋" w:eastAsia="仿宋" w:cs="仿宋"/>
                <w:b/>
                <w:color w:val="auto"/>
                <w:sz w:val="28"/>
                <w:szCs w:val="28"/>
                <w:highlight w:val="none"/>
              </w:rPr>
            </w:pPr>
          </w:p>
        </w:tc>
        <w:tc>
          <w:tcPr>
            <w:tcW w:w="1008" w:type="pc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b/>
                <w:color w:val="auto"/>
                <w:sz w:val="21"/>
                <w:szCs w:val="21"/>
                <w:highlight w:val="none"/>
              </w:rPr>
              <w:t>投标报价</w:t>
            </w:r>
            <w:r>
              <w:rPr>
                <w:rFonts w:hint="eastAsia" w:ascii="仿宋" w:hAnsi="仿宋" w:eastAsia="仿宋" w:cs="仿宋"/>
                <w:b/>
                <w:color w:val="auto"/>
                <w:sz w:val="21"/>
                <w:szCs w:val="21"/>
                <w:highlight w:val="none"/>
                <w:lang w:val="en-US" w:eastAsia="zh-CN"/>
              </w:rPr>
              <w:t>得分</w:t>
            </w:r>
          </w:p>
        </w:tc>
        <w:tc>
          <w:tcPr>
            <w:tcW w:w="2226" w:type="pct"/>
            <w:gridSpan w:val="5"/>
            <w:vAlign w:val="top"/>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506" w:type="pct"/>
          </w:tcPr>
          <w:p>
            <w:pPr>
              <w:autoSpaceDE w:val="0"/>
              <w:autoSpaceDN w:val="0"/>
              <w:adjustRightInd w:val="0"/>
              <w:spacing w:line="360" w:lineRule="auto"/>
              <w:jc w:val="left"/>
              <w:rPr>
                <w:rFonts w:hint="default" w:ascii="仿宋" w:hAnsi="仿宋" w:eastAsia="仿宋" w:cs="仿宋"/>
                <w:b/>
                <w:bCs/>
                <w:color w:val="auto"/>
                <w:szCs w:val="21"/>
                <w:highlight w:val="none"/>
                <w:vertAlign w:val="baseline"/>
                <w:lang w:val="en-US" w:eastAsia="zh-CN"/>
              </w:rPr>
            </w:pPr>
          </w:p>
        </w:tc>
        <w:tc>
          <w:tcPr>
            <w:tcW w:w="506" w:type="pct"/>
            <w:vMerge w:val="continue"/>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restar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b/>
                <w:color w:val="auto"/>
                <w:sz w:val="21"/>
                <w:szCs w:val="21"/>
                <w:highlight w:val="none"/>
                <w:lang w:val="en-US" w:eastAsia="zh-CN"/>
              </w:rPr>
              <w:t>3</w:t>
            </w:r>
          </w:p>
        </w:tc>
        <w:tc>
          <w:tcPr>
            <w:tcW w:w="522" w:type="pct"/>
            <w:vMerge w:val="restar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p>
        </w:tc>
        <w:tc>
          <w:tcPr>
            <w:tcW w:w="1008"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r>
              <w:rPr>
                <w:rFonts w:hint="eastAsia" w:ascii="仿宋" w:hAnsi="仿宋" w:eastAsia="仿宋" w:cs="仿宋"/>
                <w:b/>
                <w:color w:val="auto"/>
                <w:sz w:val="21"/>
                <w:szCs w:val="21"/>
                <w:highlight w:val="none"/>
              </w:rPr>
              <w:t>实力与资信</w:t>
            </w:r>
            <w:r>
              <w:rPr>
                <w:rFonts w:hint="eastAsia" w:ascii="仿宋" w:hAnsi="仿宋" w:eastAsia="仿宋" w:cs="仿宋"/>
                <w:b/>
                <w:color w:val="auto"/>
                <w:sz w:val="21"/>
                <w:szCs w:val="21"/>
                <w:highlight w:val="none"/>
                <w:lang w:val="en-US" w:eastAsia="zh-CN"/>
              </w:rPr>
              <w:t>得分</w:t>
            </w: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43"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454" w:type="pc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c>
          <w:tcPr>
            <w:tcW w:w="506" w:type="pct"/>
            <w:vAlign w:val="top"/>
          </w:tcPr>
          <w:p>
            <w:pPr>
              <w:autoSpaceDE w:val="0"/>
              <w:autoSpaceDN w:val="0"/>
              <w:adjustRightInd w:val="0"/>
              <w:spacing w:line="360" w:lineRule="auto"/>
              <w:jc w:val="left"/>
              <w:rPr>
                <w:rFonts w:hint="default" w:ascii="仿宋" w:hAnsi="仿宋" w:eastAsia="仿宋" w:cs="仿宋"/>
                <w:b/>
                <w:bCs/>
                <w:color w:val="auto"/>
                <w:kern w:val="2"/>
                <w:sz w:val="21"/>
                <w:szCs w:val="21"/>
                <w:highlight w:val="none"/>
                <w:vertAlign w:val="baseline"/>
                <w:lang w:val="en-US" w:eastAsia="zh-CN" w:bidi="ar-SA"/>
              </w:rPr>
            </w:pPr>
          </w:p>
        </w:tc>
        <w:tc>
          <w:tcPr>
            <w:tcW w:w="506" w:type="pct"/>
            <w:vMerge w:val="restart"/>
            <w:vAlign w:val="top"/>
          </w:tcPr>
          <w:p>
            <w:pPr>
              <w:autoSpaceDE w:val="0"/>
              <w:autoSpaceDN w:val="0"/>
              <w:adjustRightInd w:val="0"/>
              <w:spacing w:line="360" w:lineRule="auto"/>
              <w:jc w:val="left"/>
              <w:rPr>
                <w:rFonts w:hint="eastAsia" w:ascii="仿宋" w:hAnsi="仿宋" w:eastAsia="仿宋" w:cs="仿宋"/>
                <w:b/>
                <w:bCs/>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tcPr>
          <w:p>
            <w:pPr>
              <w:autoSpaceDE w:val="0"/>
              <w:autoSpaceDN w:val="0"/>
              <w:adjustRightInd w:val="0"/>
              <w:spacing w:line="360" w:lineRule="auto"/>
              <w:jc w:val="left"/>
              <w:rPr>
                <w:rFonts w:hint="eastAsia" w:ascii="仿宋" w:hAnsi="仿宋" w:eastAsia="仿宋" w:cs="仿宋"/>
                <w:b/>
                <w:color w:val="auto"/>
                <w:sz w:val="28"/>
                <w:szCs w:val="28"/>
                <w:highlight w:val="none"/>
              </w:rPr>
            </w:pPr>
          </w:p>
        </w:tc>
        <w:tc>
          <w:tcPr>
            <w:tcW w:w="522" w:type="pct"/>
            <w:vMerge w:val="continue"/>
          </w:tcPr>
          <w:p>
            <w:pPr>
              <w:autoSpaceDE w:val="0"/>
              <w:autoSpaceDN w:val="0"/>
              <w:adjustRightInd w:val="0"/>
              <w:spacing w:line="360" w:lineRule="auto"/>
              <w:jc w:val="left"/>
              <w:rPr>
                <w:rFonts w:hint="eastAsia" w:ascii="仿宋" w:hAnsi="仿宋" w:eastAsia="仿宋" w:cs="仿宋"/>
                <w:b/>
                <w:color w:val="auto"/>
                <w:sz w:val="28"/>
                <w:szCs w:val="28"/>
                <w:highlight w:val="none"/>
              </w:rPr>
            </w:pPr>
          </w:p>
        </w:tc>
        <w:tc>
          <w:tcPr>
            <w:tcW w:w="1008" w:type="pct"/>
            <w:vAlign w:val="top"/>
          </w:tcPr>
          <w:p>
            <w:pPr>
              <w:autoSpaceDE w:val="0"/>
              <w:autoSpaceDN w:val="0"/>
              <w:adjustRightInd w:val="0"/>
              <w:spacing w:line="360" w:lineRule="auto"/>
              <w:jc w:val="left"/>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b/>
                <w:color w:val="auto"/>
                <w:sz w:val="21"/>
                <w:szCs w:val="21"/>
                <w:highlight w:val="none"/>
              </w:rPr>
              <w:t>投标报价</w:t>
            </w:r>
            <w:r>
              <w:rPr>
                <w:rFonts w:hint="eastAsia" w:ascii="仿宋" w:hAnsi="仿宋" w:eastAsia="仿宋" w:cs="仿宋"/>
                <w:b/>
                <w:color w:val="auto"/>
                <w:sz w:val="21"/>
                <w:szCs w:val="21"/>
                <w:highlight w:val="none"/>
                <w:lang w:val="en-US" w:eastAsia="zh-CN"/>
              </w:rPr>
              <w:t>得分</w:t>
            </w:r>
          </w:p>
        </w:tc>
        <w:tc>
          <w:tcPr>
            <w:tcW w:w="2226" w:type="pct"/>
            <w:gridSpan w:val="5"/>
            <w:vAlign w:val="top"/>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lang w:val="en-US" w:eastAsia="zh-CN"/>
              </w:rPr>
            </w:pPr>
          </w:p>
        </w:tc>
        <w:tc>
          <w:tcPr>
            <w:tcW w:w="506" w:type="pct"/>
          </w:tcPr>
          <w:p>
            <w:pPr>
              <w:autoSpaceDE w:val="0"/>
              <w:autoSpaceDN w:val="0"/>
              <w:adjustRightInd w:val="0"/>
              <w:spacing w:line="360" w:lineRule="auto"/>
              <w:jc w:val="left"/>
              <w:rPr>
                <w:rFonts w:hint="default" w:ascii="仿宋" w:hAnsi="仿宋" w:eastAsia="仿宋" w:cs="仿宋"/>
                <w:b/>
                <w:bCs/>
                <w:color w:val="auto"/>
                <w:szCs w:val="21"/>
                <w:highlight w:val="none"/>
                <w:vertAlign w:val="baseline"/>
                <w:lang w:val="en-US" w:eastAsia="zh-CN"/>
              </w:rPr>
            </w:pPr>
          </w:p>
        </w:tc>
        <w:tc>
          <w:tcPr>
            <w:tcW w:w="506" w:type="pct"/>
            <w:vMerge w:val="continue"/>
          </w:tcPr>
          <w:p>
            <w:pPr>
              <w:autoSpaceDE w:val="0"/>
              <w:autoSpaceDN w:val="0"/>
              <w:adjustRightInd w:val="0"/>
              <w:spacing w:line="360" w:lineRule="auto"/>
              <w:jc w:val="left"/>
              <w:rPr>
                <w:rFonts w:hint="eastAsia" w:ascii="仿宋" w:hAnsi="仿宋" w:eastAsia="仿宋" w:cs="仿宋"/>
                <w:b/>
                <w:bCs/>
                <w:color w:val="auto"/>
                <w:szCs w:val="21"/>
                <w:highlight w:val="none"/>
                <w:vertAlign w:val="baseline"/>
              </w:rPr>
            </w:pPr>
          </w:p>
        </w:tc>
      </w:tr>
    </w:tbl>
    <w:p>
      <w:pPr>
        <w:autoSpaceDE w:val="0"/>
        <w:autoSpaceDN w:val="0"/>
        <w:adjustRightInd w:val="0"/>
        <w:spacing w:line="360" w:lineRule="auto"/>
        <w:jc w:val="left"/>
        <w:rPr>
          <w:rFonts w:hint="eastAsia" w:ascii="仿宋" w:hAnsi="仿宋" w:eastAsia="仿宋" w:cs="仿宋"/>
          <w:b/>
          <w:bCs/>
          <w:color w:val="auto"/>
          <w:szCs w:val="21"/>
          <w:highlight w:val="none"/>
          <w:lang w:val="en-US" w:eastAsia="zh-CN"/>
        </w:rPr>
        <w:sectPr>
          <w:pgSz w:w="16838" w:h="11906" w:orient="landscape"/>
          <w:pgMar w:top="1800" w:right="1418" w:bottom="1418" w:left="1418" w:header="851" w:footer="992" w:gutter="0"/>
          <w:cols w:space="720" w:num="1"/>
          <w:titlePg/>
          <w:docGrid w:type="linesAndChars" w:linePitch="312" w:charSpace="0"/>
        </w:sectPr>
      </w:pPr>
      <w:r>
        <w:rPr>
          <w:rFonts w:hint="eastAsia" w:ascii="仿宋" w:hAnsi="仿宋" w:eastAsia="仿宋" w:cs="仿宋"/>
          <w:b/>
          <w:bCs/>
          <w:color w:val="auto"/>
          <w:szCs w:val="21"/>
          <w:highlight w:val="none"/>
        </w:rPr>
        <w:t>评选委员会全体成员签字/日期</w:t>
      </w:r>
      <w:r>
        <w:rPr>
          <w:rFonts w:hint="eastAsia" w:ascii="仿宋" w:hAnsi="仿宋" w:eastAsia="仿宋" w:cs="仿宋"/>
          <w:b/>
          <w:bCs/>
          <w:color w:val="auto"/>
          <w:szCs w:val="21"/>
          <w:highlight w:val="none"/>
          <w:lang w:eastAsia="zh-CN"/>
        </w:rPr>
        <w:t>：</w:t>
      </w:r>
    </w:p>
    <w:p>
      <w:pPr>
        <w:autoSpaceDE w:val="0"/>
        <w:autoSpaceDN w:val="0"/>
        <w:adjustRightInd w:val="0"/>
        <w:spacing w:line="360" w:lineRule="auto"/>
        <w:jc w:val="left"/>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rPr>
        <w:t>附表</w:t>
      </w:r>
      <w:r>
        <w:rPr>
          <w:rFonts w:hint="eastAsia" w:ascii="仿宋" w:hAnsi="仿宋" w:eastAsia="仿宋" w:cs="仿宋"/>
          <w:b/>
          <w:bCs/>
          <w:color w:val="auto"/>
          <w:szCs w:val="21"/>
          <w:highlight w:val="none"/>
          <w:lang w:val="en-US" w:eastAsia="zh-CN"/>
        </w:rPr>
        <w:t>9</w:t>
      </w:r>
    </w:p>
    <w:p>
      <w:pPr>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中选候选人表</w:t>
      </w:r>
    </w:p>
    <w:p>
      <w:pPr>
        <w:ind w:firstLine="320"/>
        <w:jc w:val="right"/>
        <w:rPr>
          <w:rFonts w:ascii="仿宋" w:hAnsi="仿宋" w:eastAsia="仿宋" w:cs="仿宋"/>
          <w:color w:val="auto"/>
          <w:szCs w:val="21"/>
          <w:highlight w:val="none"/>
        </w:rPr>
      </w:pPr>
    </w:p>
    <w:tbl>
      <w:tblPr>
        <w:tblStyle w:val="33"/>
        <w:tblW w:w="8818" w:type="dxa"/>
        <w:tblInd w:w="108" w:type="dxa"/>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6939"/>
      </w:tblGrid>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tcBorders>
              <w:top w:val="single" w:color="000000" w:sz="12" w:space="0"/>
              <w:left w:val="single" w:color="000000"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排  序</w:t>
            </w:r>
          </w:p>
        </w:tc>
        <w:tc>
          <w:tcPr>
            <w:tcW w:w="6939" w:type="dxa"/>
            <w:tcBorders>
              <w:top w:val="single" w:color="000000" w:sz="12"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 中选候选人</w:t>
            </w: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tcBorders>
              <w:top w:val="single" w:color="auto" w:sz="4" w:space="0"/>
              <w:left w:val="single" w:color="000000"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第一名</w:t>
            </w:r>
          </w:p>
        </w:tc>
        <w:tc>
          <w:tcPr>
            <w:tcW w:w="6939"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tcBorders>
              <w:top w:val="single" w:color="auto" w:sz="4" w:space="0"/>
              <w:left w:val="single" w:color="000000" w:sz="12"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第二名</w:t>
            </w:r>
          </w:p>
        </w:tc>
        <w:tc>
          <w:tcPr>
            <w:tcW w:w="6939"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color w:val="auto"/>
                <w:szCs w:val="21"/>
                <w:highlight w:val="none"/>
              </w:rPr>
            </w:pPr>
          </w:p>
        </w:tc>
      </w:tr>
      <w:tr>
        <w:tblPrEx>
          <w:tblBorders>
            <w:top w:val="single" w:color="000000" w:sz="12" w:space="0"/>
            <w:left w:val="single" w:color="000000"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tcBorders>
              <w:top w:val="single" w:color="auto" w:sz="4" w:space="0"/>
              <w:left w:val="single" w:color="000000" w:sz="12" w:space="0"/>
              <w:bottom w:val="single" w:color="000000" w:sz="12"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第三名</w:t>
            </w:r>
          </w:p>
        </w:tc>
        <w:tc>
          <w:tcPr>
            <w:tcW w:w="6939" w:type="dxa"/>
            <w:tcBorders>
              <w:top w:val="single" w:color="auto" w:sz="4" w:space="0"/>
              <w:left w:val="single" w:color="auto" w:sz="4" w:space="0"/>
              <w:bottom w:val="single" w:color="000000" w:sz="12" w:space="0"/>
              <w:right w:val="single" w:color="auto" w:sz="12" w:space="0"/>
            </w:tcBorders>
            <w:vAlign w:val="center"/>
          </w:tcPr>
          <w:p>
            <w:pPr>
              <w:jc w:val="center"/>
              <w:rPr>
                <w:rFonts w:ascii="仿宋" w:hAnsi="仿宋" w:eastAsia="仿宋" w:cs="仿宋"/>
                <w:color w:val="auto"/>
                <w:szCs w:val="21"/>
                <w:highlight w:val="none"/>
              </w:rPr>
            </w:pPr>
          </w:p>
        </w:tc>
      </w:tr>
    </w:tbl>
    <w:p>
      <w:pPr>
        <w:rPr>
          <w:rFonts w:ascii="仿宋" w:hAnsi="仿宋" w:eastAsia="仿宋" w:cs="仿宋"/>
          <w:color w:val="auto"/>
          <w:szCs w:val="21"/>
          <w:highlight w:val="none"/>
        </w:rPr>
      </w:pPr>
    </w:p>
    <w:p>
      <w:pPr>
        <w:pStyle w:val="20"/>
        <w:spacing w:line="360" w:lineRule="auto"/>
        <w:rPr>
          <w:rFonts w:ascii="仿宋" w:hAnsi="仿宋" w:eastAsia="仿宋" w:cs="仿宋"/>
          <w:color w:val="auto"/>
          <w:highlight w:val="none"/>
        </w:rPr>
      </w:pPr>
    </w:p>
    <w:sectPr>
      <w:headerReference r:id="rId19" w:type="first"/>
      <w:footerReference r:id="rId22" w:type="first"/>
      <w:headerReference r:id="rId17" w:type="default"/>
      <w:footerReference r:id="rId20" w:type="default"/>
      <w:headerReference r:id="rId18" w:type="even"/>
      <w:footerReference r:id="rId21" w:type="even"/>
      <w:pgSz w:w="11906" w:h="16838"/>
      <w:pgMar w:top="1418" w:right="1418" w:bottom="1418" w:left="180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宋体_x0007_.　璿..">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1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16" o:spid="_x0000_s1026" o:spt="202" type="#_x0000_t202" style="position:absolute;left:0pt;margin-top:0pt;height:12.05pt;width:5.3pt;mso-position-horizontal:center;mso-position-horizontal-relative:margin;mso-wrap-style:none;z-index:251661312;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qzVF0AAAAAMBAAAPAAAAAAAAAAEAIAAAACIAAABkcnMvZG93bnJldi54bWxQSwECFAAU&#10;AAAACACHTuJAuDZfsMABAABfAwAADgAAAAAAAAABACAAAAAfAQAAZHJzL2Uyb0RvYy54bWxQSwUG&#10;AAAAAAYABgBZAQAAU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10"/>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a:noFill/>
                      </a:ln>
                      <a:effectLst/>
                    </wps:spPr>
                    <wps:txbx>
                      <w:txbxContent>
                        <w:p>
                          <w:pPr>
                            <w:pStyle w:val="23"/>
                            <w:jc w:val="center"/>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rect id="文本框10"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0&#10;v9LC0AAAAAMBAAAPAAAAAAAAAAEAIAAAACIAAABkcnMvZG93bnJldi54bWxQSwECFAAUAAAACACH&#10;TuJA8j3YgroBAABWAwAADgAAAAAAAAABACAAAAAfAQAAZHJzL2Uyb0RvYy54bWxQSwUGAAAAAAYA&#10;BgBZAQAASwUAAAAA&#10;">
              <v:fill on="f" focussize="0,0"/>
              <v:stroke on="f"/>
              <v:imagedata o:title=""/>
              <o:lock v:ext="edit" aspectratio="f"/>
              <v:textbox inset="0mm,0mm,0mm,0mm" style="mso-fit-shape-to-text:t;">
                <w:txbxContent>
                  <w:p>
                    <w:pPr>
                      <w:pStyle w:val="23"/>
                      <w:jc w:val="center"/>
                    </w:pPr>
                    <w:r>
                      <w:fldChar w:fldCharType="begin"/>
                    </w:r>
                    <w:r>
                      <w:instrText xml:space="preserve"> PAGE   \* MERGEFORMAT </w:instrText>
                    </w:r>
                    <w:r>
                      <w:fldChar w:fldCharType="separate"/>
                    </w:r>
                    <w:r>
                      <w:t>32</w:t>
                    </w:r>
                    <w:r>
                      <w:fldChar w:fldCharType="end"/>
                    </w:r>
                  </w:p>
                </w:txbxContent>
              </v:textbox>
            </v:rect>
          </w:pict>
        </mc:Fallback>
      </mc:AlternateContent>
    </w:r>
  </w:p>
  <w:p>
    <w:pPr>
      <w:pStyle w:val="23"/>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11"/>
              <wp:cNvGraphicFramePr/>
              <a:graphic xmlns:a="http://schemas.openxmlformats.org/drawingml/2006/main">
                <a:graphicData uri="http://schemas.microsoft.com/office/word/2010/wordprocessingShape">
                  <wps:wsp>
                    <wps:cNvSpPr/>
                    <wps:spPr>
                      <a:xfrm>
                        <a:off x="0" y="0"/>
                        <a:ext cx="133985" cy="15303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29</w:t>
                          </w:r>
                          <w:r>
                            <w:rPr>
                              <w:rFonts w:hint="eastAsia"/>
                              <w:sz w:val="18"/>
                            </w:rPr>
                            <w:fldChar w:fldCharType="end"/>
                          </w:r>
                        </w:p>
                      </w:txbxContent>
                    </wps:txbx>
                    <wps:bodyPr wrap="none" lIns="0" tIns="0" rIns="0" bIns="0" upright="1">
                      <a:spAutoFit/>
                    </wps:bodyPr>
                  </wps:wsp>
                </a:graphicData>
              </a:graphic>
            </wp:anchor>
          </w:drawing>
        </mc:Choice>
        <mc:Fallback>
          <w:pict>
            <v:rect id="文本框11" o:spid="_x0000_s1026" o:spt="1"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IfG40QAAAAMBAAAPAAAAAAAAAAEAIAAAACIAAABkcnMvZG93bnJldi54bWxQSwECFAAUAAAA&#10;CACHTuJA6hkkkLwBAABWAwAADgAAAAAAAAABACAAAAAg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29</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7"/>
      </w:rPr>
    </w:pPr>
    <w:r>
      <w:fldChar w:fldCharType="begin"/>
    </w:r>
    <w:r>
      <w:rPr>
        <w:rStyle w:val="37"/>
      </w:rPr>
      <w:instrText xml:space="preserve">PAGE  </w:instrText>
    </w:r>
    <w:r>
      <w:fldChar w:fldCharType="separate"/>
    </w:r>
    <w:r>
      <w:rPr>
        <w:rStyle w:val="37"/>
      </w:rPr>
      <w:t>45</w: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rPr>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3"/>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SF7O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3EalBeORnT69vX0/efpxxf2PMszRmwp6yFSXppeh4nGPN8jXWbWkwaX&#10;v8SHUZyEPl7FVVNiMj9qVk1TU0hSbHYIv3p8HgHTGxUcy0bHgaZXRBWHd5jOqXNKrubDvbG2TNB6&#10;NhLqTfPypry4hgjd+pysyjJccDKnc+/ZStN2uhDdhv5IPEdaiI572ljO7FtPeufdmQ2Yje1s7COY&#10;3UAtL0t1jK/2iZorPecKZ1jimh2aZGF92bq8Kr/7Jevx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D0hezuvAEAAGMDAAAOAAAAAAAAAAEAIAAAACIBAABkcnMvZTJvRG9jLnhtbFBLBQYA&#10;AAAABgAGAFkBAABQ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6" name="文本框 4"/>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erNUXQAAAAAwEAAA8AAAAAAAAAAQAgAAAAIgAAAGRycy9kb3ducmV2LnhtbFBLAQIUABQA&#10;AAAIAIdO4kAbk0qxvwEAAF8DAAAOAAAAAAAAAAEAIAAAAB8BAABkcnMvZTJvRG9jLnhtbFBLBQYA&#10;AAAABgAGAFkBAABQ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DfekZQvAEAAGMDAAAOAAAAAAAAAAEAIAAAACIBAABkcnMvZTJvRG9jLnhtbFBLBQYA&#10;AAAABgAGAFkBAABQ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rPr>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8"/>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wps:txbx>
                    <wps:bodyPr wrap="none" lIns="0" tIns="0" rIns="0" bIns="0" upright="1">
                      <a:spAutoFit/>
                    </wps:bodyPr>
                  </wps:wsp>
                </a:graphicData>
              </a:graphic>
            </wp:anchor>
          </w:drawing>
        </mc:Choice>
        <mc:Fallback>
          <w:pict>
            <v:rect id="文本框8"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JRlyk64AQAAVw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10"/>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a:noFill/>
                      </a:ln>
                      <a:effectLst/>
                    </wps:spPr>
                    <wps:txbx>
                      <w:txbxContent>
                        <w:p>
                          <w:pPr>
                            <w:pStyle w:val="23"/>
                            <w:jc w:val="center"/>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rect id="文本框10"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S/&#10;0sLQAAAAAwEAAA8AAAAAAAAAAQAgAAAAIgAAAGRycy9kb3ducmV2LnhtbFBLAQIUABQAAAAIAIdO&#10;4kBx1bXtuQEAAFYDAAAOAAAAAAAAAAEAIAAAAB8BAABkcnMvZTJvRG9jLnhtbFBLBQYAAAAABgAG&#10;AFkBAABKBQAAAAA=&#10;">
              <v:fill on="f" focussize="0,0"/>
              <v:stroke on="f"/>
              <v:imagedata o:title=""/>
              <o:lock v:ext="edit" aspectratio="f"/>
              <v:textbox inset="0mm,0mm,0mm,0mm" style="mso-fit-shape-to-text:t;">
                <w:txbxContent>
                  <w:p>
                    <w:pPr>
                      <w:pStyle w:val="23"/>
                      <w:jc w:val="center"/>
                    </w:pPr>
                    <w:r>
                      <w:fldChar w:fldCharType="begin"/>
                    </w:r>
                    <w:r>
                      <w:instrText xml:space="preserve"> PAGE   \* MERGEFORMAT </w:instrText>
                    </w:r>
                    <w:r>
                      <w:fldChar w:fldCharType="separate"/>
                    </w:r>
                    <w:r>
                      <w:t>32</w:t>
                    </w:r>
                    <w:r>
                      <w:fldChar w:fldCharType="end"/>
                    </w:r>
                  </w:p>
                </w:txbxContent>
              </v:textbox>
            </v:rect>
          </w:pict>
        </mc:Fallback>
      </mc:AlternateContent>
    </w:r>
  </w:p>
  <w:p>
    <w:pPr>
      <w:pStyle w:val="2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11"/>
              <wp:cNvGraphicFramePr/>
              <a:graphic xmlns:a="http://schemas.openxmlformats.org/drawingml/2006/main">
                <a:graphicData uri="http://schemas.microsoft.com/office/word/2010/wordprocessingShape">
                  <wps:wsp>
                    <wps:cNvSpPr/>
                    <wps:spPr>
                      <a:xfrm>
                        <a:off x="0" y="0"/>
                        <a:ext cx="133985" cy="153035"/>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29</w:t>
                          </w:r>
                          <w:r>
                            <w:rPr>
                              <w:rFonts w:hint="eastAsia"/>
                              <w:sz w:val="18"/>
                            </w:rPr>
                            <w:fldChar w:fldCharType="end"/>
                          </w:r>
                        </w:p>
                      </w:txbxContent>
                    </wps:txbx>
                    <wps:bodyPr wrap="none" lIns="0" tIns="0" rIns="0" bIns="0" upright="1">
                      <a:spAutoFit/>
                    </wps:bodyPr>
                  </wps:wsp>
                </a:graphicData>
              </a:graphic>
            </wp:anchor>
          </w:drawing>
        </mc:Choice>
        <mc:Fallback>
          <w:pict>
            <v:rect id="文本框11" o:spid="_x0000_s1026" o:spt="1"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IfG40QAAAAMBAAAPAAAAAAAAAAEAIAAAACIAAABkcnMvZG93bnJldi54bWxQSwECFAAUAAAA&#10;CACHTuJAbW/ba7wBAABWAwAADgAAAAAAAAABACAAAAAg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29</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E9D04"/>
    <w:multiLevelType w:val="singleLevel"/>
    <w:tmpl w:val="830E9D04"/>
    <w:lvl w:ilvl="0" w:tentative="0">
      <w:start w:val="3"/>
      <w:numFmt w:val="chineseCounting"/>
      <w:suff w:val="nothing"/>
      <w:lvlText w:val="%1、"/>
      <w:lvlJc w:val="left"/>
      <w:rPr>
        <w:rFonts w:hint="eastAsia"/>
      </w:rPr>
    </w:lvl>
  </w:abstractNum>
  <w:abstractNum w:abstractNumId="1">
    <w:nsid w:val="87A66762"/>
    <w:multiLevelType w:val="singleLevel"/>
    <w:tmpl w:val="87A66762"/>
    <w:lvl w:ilvl="0" w:tentative="0">
      <w:start w:val="1"/>
      <w:numFmt w:val="decimal"/>
      <w:suff w:val="nothing"/>
      <w:lvlText w:val="%1、"/>
      <w:lvlJc w:val="left"/>
    </w:lvl>
  </w:abstractNum>
  <w:abstractNum w:abstractNumId="2">
    <w:nsid w:val="2B64B637"/>
    <w:multiLevelType w:val="singleLevel"/>
    <w:tmpl w:val="2B64B637"/>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AD6"/>
    <w:rsid w:val="00012634"/>
    <w:rsid w:val="00020D7D"/>
    <w:rsid w:val="000402BD"/>
    <w:rsid w:val="000437DF"/>
    <w:rsid w:val="00056BE7"/>
    <w:rsid w:val="000630CD"/>
    <w:rsid w:val="00066DED"/>
    <w:rsid w:val="0007183F"/>
    <w:rsid w:val="00071F03"/>
    <w:rsid w:val="000721EF"/>
    <w:rsid w:val="00080438"/>
    <w:rsid w:val="00090D6C"/>
    <w:rsid w:val="000921B4"/>
    <w:rsid w:val="000A01CD"/>
    <w:rsid w:val="000A159D"/>
    <w:rsid w:val="000A4A07"/>
    <w:rsid w:val="000D3BEB"/>
    <w:rsid w:val="000E42EA"/>
    <w:rsid w:val="000F0898"/>
    <w:rsid w:val="00100E58"/>
    <w:rsid w:val="001038AA"/>
    <w:rsid w:val="00106565"/>
    <w:rsid w:val="00125B7E"/>
    <w:rsid w:val="001347CC"/>
    <w:rsid w:val="00141AE9"/>
    <w:rsid w:val="00150A65"/>
    <w:rsid w:val="001526B6"/>
    <w:rsid w:val="00160785"/>
    <w:rsid w:val="00165202"/>
    <w:rsid w:val="00172A27"/>
    <w:rsid w:val="001827D8"/>
    <w:rsid w:val="00185D8F"/>
    <w:rsid w:val="00187C4B"/>
    <w:rsid w:val="0019404C"/>
    <w:rsid w:val="001A2FBC"/>
    <w:rsid w:val="001B473D"/>
    <w:rsid w:val="001D02AA"/>
    <w:rsid w:val="001D64C6"/>
    <w:rsid w:val="001F62DC"/>
    <w:rsid w:val="00202E57"/>
    <w:rsid w:val="002034E5"/>
    <w:rsid w:val="00215B5F"/>
    <w:rsid w:val="002414F4"/>
    <w:rsid w:val="00245D00"/>
    <w:rsid w:val="002555D2"/>
    <w:rsid w:val="00260464"/>
    <w:rsid w:val="002608BA"/>
    <w:rsid w:val="00261C9F"/>
    <w:rsid w:val="00267FA8"/>
    <w:rsid w:val="00282F11"/>
    <w:rsid w:val="0028358C"/>
    <w:rsid w:val="00287471"/>
    <w:rsid w:val="00290F7E"/>
    <w:rsid w:val="002A049B"/>
    <w:rsid w:val="002A665E"/>
    <w:rsid w:val="002B0678"/>
    <w:rsid w:val="002B1F98"/>
    <w:rsid w:val="002B2D22"/>
    <w:rsid w:val="002B48DB"/>
    <w:rsid w:val="002B4EF7"/>
    <w:rsid w:val="002C1C5C"/>
    <w:rsid w:val="002C1CE9"/>
    <w:rsid w:val="002C2454"/>
    <w:rsid w:val="002C3017"/>
    <w:rsid w:val="002C48AB"/>
    <w:rsid w:val="002D2484"/>
    <w:rsid w:val="002E1652"/>
    <w:rsid w:val="002E223B"/>
    <w:rsid w:val="002F0E4F"/>
    <w:rsid w:val="002F4233"/>
    <w:rsid w:val="0031056F"/>
    <w:rsid w:val="00324245"/>
    <w:rsid w:val="003421BC"/>
    <w:rsid w:val="0034266D"/>
    <w:rsid w:val="00365E50"/>
    <w:rsid w:val="00374C25"/>
    <w:rsid w:val="003817A5"/>
    <w:rsid w:val="00387E86"/>
    <w:rsid w:val="00394863"/>
    <w:rsid w:val="003A3306"/>
    <w:rsid w:val="003B53C5"/>
    <w:rsid w:val="003C2C45"/>
    <w:rsid w:val="003D0D2E"/>
    <w:rsid w:val="003D1A1F"/>
    <w:rsid w:val="003D4F5E"/>
    <w:rsid w:val="003E0A42"/>
    <w:rsid w:val="003E4F9A"/>
    <w:rsid w:val="003E5356"/>
    <w:rsid w:val="003E6F83"/>
    <w:rsid w:val="003F36B0"/>
    <w:rsid w:val="003F3C06"/>
    <w:rsid w:val="00405341"/>
    <w:rsid w:val="00405A51"/>
    <w:rsid w:val="004066A7"/>
    <w:rsid w:val="004171C9"/>
    <w:rsid w:val="00420582"/>
    <w:rsid w:val="00420BC5"/>
    <w:rsid w:val="00421287"/>
    <w:rsid w:val="00423489"/>
    <w:rsid w:val="0042385C"/>
    <w:rsid w:val="00442436"/>
    <w:rsid w:val="004557F1"/>
    <w:rsid w:val="004620B1"/>
    <w:rsid w:val="00463FB5"/>
    <w:rsid w:val="00465962"/>
    <w:rsid w:val="0046669E"/>
    <w:rsid w:val="00472389"/>
    <w:rsid w:val="00472538"/>
    <w:rsid w:val="004935F7"/>
    <w:rsid w:val="004B17D8"/>
    <w:rsid w:val="004C0E05"/>
    <w:rsid w:val="004C140D"/>
    <w:rsid w:val="004C33F6"/>
    <w:rsid w:val="004C41DD"/>
    <w:rsid w:val="004D45E1"/>
    <w:rsid w:val="004E1F6E"/>
    <w:rsid w:val="004E4A24"/>
    <w:rsid w:val="004F0073"/>
    <w:rsid w:val="00507728"/>
    <w:rsid w:val="00531186"/>
    <w:rsid w:val="00534EF9"/>
    <w:rsid w:val="005357EF"/>
    <w:rsid w:val="00535818"/>
    <w:rsid w:val="0054160C"/>
    <w:rsid w:val="00543BB8"/>
    <w:rsid w:val="00551B1A"/>
    <w:rsid w:val="0055446A"/>
    <w:rsid w:val="0056402E"/>
    <w:rsid w:val="00565EE5"/>
    <w:rsid w:val="005666FE"/>
    <w:rsid w:val="0057232D"/>
    <w:rsid w:val="0058108D"/>
    <w:rsid w:val="00591253"/>
    <w:rsid w:val="00593D2E"/>
    <w:rsid w:val="00597365"/>
    <w:rsid w:val="005A117E"/>
    <w:rsid w:val="005A39ED"/>
    <w:rsid w:val="005A5A35"/>
    <w:rsid w:val="005B27B0"/>
    <w:rsid w:val="005C7B1A"/>
    <w:rsid w:val="005D12B0"/>
    <w:rsid w:val="005D245C"/>
    <w:rsid w:val="005D5B04"/>
    <w:rsid w:val="005D7FC8"/>
    <w:rsid w:val="005E072A"/>
    <w:rsid w:val="005E3F8C"/>
    <w:rsid w:val="005F3328"/>
    <w:rsid w:val="0060246E"/>
    <w:rsid w:val="006038F9"/>
    <w:rsid w:val="0060701C"/>
    <w:rsid w:val="006076E6"/>
    <w:rsid w:val="00610ACD"/>
    <w:rsid w:val="0062132A"/>
    <w:rsid w:val="00630579"/>
    <w:rsid w:val="00632FF5"/>
    <w:rsid w:val="0063332D"/>
    <w:rsid w:val="00646A50"/>
    <w:rsid w:val="00654408"/>
    <w:rsid w:val="00675A2D"/>
    <w:rsid w:val="00677630"/>
    <w:rsid w:val="00683A26"/>
    <w:rsid w:val="0068560A"/>
    <w:rsid w:val="006911CB"/>
    <w:rsid w:val="006A096D"/>
    <w:rsid w:val="006A5C59"/>
    <w:rsid w:val="006B22B9"/>
    <w:rsid w:val="006C0DC2"/>
    <w:rsid w:val="006D014E"/>
    <w:rsid w:val="006D4C86"/>
    <w:rsid w:val="006D5605"/>
    <w:rsid w:val="006F4E5E"/>
    <w:rsid w:val="006F690A"/>
    <w:rsid w:val="00703313"/>
    <w:rsid w:val="00707A7C"/>
    <w:rsid w:val="00721CA4"/>
    <w:rsid w:val="00723121"/>
    <w:rsid w:val="00745647"/>
    <w:rsid w:val="0075071A"/>
    <w:rsid w:val="00750954"/>
    <w:rsid w:val="00751135"/>
    <w:rsid w:val="007576ED"/>
    <w:rsid w:val="00765A92"/>
    <w:rsid w:val="00766AFA"/>
    <w:rsid w:val="007670E6"/>
    <w:rsid w:val="00775315"/>
    <w:rsid w:val="007861F2"/>
    <w:rsid w:val="00790301"/>
    <w:rsid w:val="007A36F0"/>
    <w:rsid w:val="007B58A9"/>
    <w:rsid w:val="007D4E04"/>
    <w:rsid w:val="007D60F5"/>
    <w:rsid w:val="007E159E"/>
    <w:rsid w:val="007E790E"/>
    <w:rsid w:val="007F3CE1"/>
    <w:rsid w:val="007F428E"/>
    <w:rsid w:val="0080299E"/>
    <w:rsid w:val="00804104"/>
    <w:rsid w:val="0081303C"/>
    <w:rsid w:val="00813439"/>
    <w:rsid w:val="00813E2F"/>
    <w:rsid w:val="00814A0E"/>
    <w:rsid w:val="008154B0"/>
    <w:rsid w:val="008301A2"/>
    <w:rsid w:val="00837AD9"/>
    <w:rsid w:val="008501E6"/>
    <w:rsid w:val="00854842"/>
    <w:rsid w:val="00863A5C"/>
    <w:rsid w:val="00865BED"/>
    <w:rsid w:val="00866899"/>
    <w:rsid w:val="0087126D"/>
    <w:rsid w:val="00894AB0"/>
    <w:rsid w:val="00897A45"/>
    <w:rsid w:val="008A0CC4"/>
    <w:rsid w:val="008A1D38"/>
    <w:rsid w:val="008B7330"/>
    <w:rsid w:val="008D23EB"/>
    <w:rsid w:val="008D540C"/>
    <w:rsid w:val="008E163C"/>
    <w:rsid w:val="008E4545"/>
    <w:rsid w:val="008E7AB5"/>
    <w:rsid w:val="008F2C38"/>
    <w:rsid w:val="008F38D1"/>
    <w:rsid w:val="00903116"/>
    <w:rsid w:val="009102E2"/>
    <w:rsid w:val="00913F18"/>
    <w:rsid w:val="00914AFA"/>
    <w:rsid w:val="009157EA"/>
    <w:rsid w:val="00915C2C"/>
    <w:rsid w:val="009163B3"/>
    <w:rsid w:val="009205AB"/>
    <w:rsid w:val="0093312B"/>
    <w:rsid w:val="00944FFD"/>
    <w:rsid w:val="00953CDF"/>
    <w:rsid w:val="009548B1"/>
    <w:rsid w:val="00954F0B"/>
    <w:rsid w:val="00971A6E"/>
    <w:rsid w:val="00971CEE"/>
    <w:rsid w:val="00976C15"/>
    <w:rsid w:val="00986D28"/>
    <w:rsid w:val="009963EE"/>
    <w:rsid w:val="009A1BE9"/>
    <w:rsid w:val="009A2F81"/>
    <w:rsid w:val="009A5134"/>
    <w:rsid w:val="009B362F"/>
    <w:rsid w:val="009D2C7F"/>
    <w:rsid w:val="009D3360"/>
    <w:rsid w:val="009E292B"/>
    <w:rsid w:val="009E7DA2"/>
    <w:rsid w:val="009F5DBA"/>
    <w:rsid w:val="00A05352"/>
    <w:rsid w:val="00A43C88"/>
    <w:rsid w:val="00A56A93"/>
    <w:rsid w:val="00A644B5"/>
    <w:rsid w:val="00A64E35"/>
    <w:rsid w:val="00A77212"/>
    <w:rsid w:val="00AA1A79"/>
    <w:rsid w:val="00AA3AEC"/>
    <w:rsid w:val="00AA6AE8"/>
    <w:rsid w:val="00AB6BEA"/>
    <w:rsid w:val="00AD12B2"/>
    <w:rsid w:val="00AD43F6"/>
    <w:rsid w:val="00AD4DCD"/>
    <w:rsid w:val="00AE181A"/>
    <w:rsid w:val="00AE7F92"/>
    <w:rsid w:val="00AF02F7"/>
    <w:rsid w:val="00AF0B43"/>
    <w:rsid w:val="00AF193A"/>
    <w:rsid w:val="00AF2157"/>
    <w:rsid w:val="00AF72E4"/>
    <w:rsid w:val="00B21104"/>
    <w:rsid w:val="00B22E8A"/>
    <w:rsid w:val="00B31D4D"/>
    <w:rsid w:val="00B36105"/>
    <w:rsid w:val="00B52B2F"/>
    <w:rsid w:val="00B54744"/>
    <w:rsid w:val="00B54DEB"/>
    <w:rsid w:val="00B62F2D"/>
    <w:rsid w:val="00B720B2"/>
    <w:rsid w:val="00B7299C"/>
    <w:rsid w:val="00B73DE7"/>
    <w:rsid w:val="00B76276"/>
    <w:rsid w:val="00B77DB9"/>
    <w:rsid w:val="00BA0AEA"/>
    <w:rsid w:val="00BA72B3"/>
    <w:rsid w:val="00BA7D3A"/>
    <w:rsid w:val="00BB2EAC"/>
    <w:rsid w:val="00BB5002"/>
    <w:rsid w:val="00BC1031"/>
    <w:rsid w:val="00BD3A33"/>
    <w:rsid w:val="00BE3F1D"/>
    <w:rsid w:val="00BE5ED6"/>
    <w:rsid w:val="00C00730"/>
    <w:rsid w:val="00C017FC"/>
    <w:rsid w:val="00C06642"/>
    <w:rsid w:val="00C1522F"/>
    <w:rsid w:val="00C26D17"/>
    <w:rsid w:val="00C36290"/>
    <w:rsid w:val="00C37EBB"/>
    <w:rsid w:val="00C42E27"/>
    <w:rsid w:val="00C43F43"/>
    <w:rsid w:val="00C50CC7"/>
    <w:rsid w:val="00C66D44"/>
    <w:rsid w:val="00C809A1"/>
    <w:rsid w:val="00C80B43"/>
    <w:rsid w:val="00C9750D"/>
    <w:rsid w:val="00CA0BE2"/>
    <w:rsid w:val="00CB5C6A"/>
    <w:rsid w:val="00CC650F"/>
    <w:rsid w:val="00CE1778"/>
    <w:rsid w:val="00CF0417"/>
    <w:rsid w:val="00D07F13"/>
    <w:rsid w:val="00D12666"/>
    <w:rsid w:val="00D14521"/>
    <w:rsid w:val="00D16959"/>
    <w:rsid w:val="00D302FB"/>
    <w:rsid w:val="00D34C6A"/>
    <w:rsid w:val="00D40121"/>
    <w:rsid w:val="00D40202"/>
    <w:rsid w:val="00D422D3"/>
    <w:rsid w:val="00D427EA"/>
    <w:rsid w:val="00D43885"/>
    <w:rsid w:val="00D5661A"/>
    <w:rsid w:val="00D61A11"/>
    <w:rsid w:val="00D739F8"/>
    <w:rsid w:val="00D75DA0"/>
    <w:rsid w:val="00D812C6"/>
    <w:rsid w:val="00D81AA7"/>
    <w:rsid w:val="00D832A0"/>
    <w:rsid w:val="00D91949"/>
    <w:rsid w:val="00D9385C"/>
    <w:rsid w:val="00D938C6"/>
    <w:rsid w:val="00DA0496"/>
    <w:rsid w:val="00DD345E"/>
    <w:rsid w:val="00DD5899"/>
    <w:rsid w:val="00DE28C1"/>
    <w:rsid w:val="00DE461A"/>
    <w:rsid w:val="00DE5C75"/>
    <w:rsid w:val="00DF2F42"/>
    <w:rsid w:val="00DF5B0D"/>
    <w:rsid w:val="00DF694E"/>
    <w:rsid w:val="00DF6C8B"/>
    <w:rsid w:val="00E05C1B"/>
    <w:rsid w:val="00E16575"/>
    <w:rsid w:val="00E37F46"/>
    <w:rsid w:val="00E45A27"/>
    <w:rsid w:val="00E55BF6"/>
    <w:rsid w:val="00E604C4"/>
    <w:rsid w:val="00E606EF"/>
    <w:rsid w:val="00E608A1"/>
    <w:rsid w:val="00E77751"/>
    <w:rsid w:val="00E871C2"/>
    <w:rsid w:val="00E87495"/>
    <w:rsid w:val="00E952D3"/>
    <w:rsid w:val="00EA12B4"/>
    <w:rsid w:val="00EA22E4"/>
    <w:rsid w:val="00EA38E5"/>
    <w:rsid w:val="00EB5B2E"/>
    <w:rsid w:val="00EB716F"/>
    <w:rsid w:val="00EC31E0"/>
    <w:rsid w:val="00ED07D0"/>
    <w:rsid w:val="00ED440E"/>
    <w:rsid w:val="00ED632E"/>
    <w:rsid w:val="00EE1797"/>
    <w:rsid w:val="00EF1B53"/>
    <w:rsid w:val="00EF4522"/>
    <w:rsid w:val="00F13452"/>
    <w:rsid w:val="00F15647"/>
    <w:rsid w:val="00F2138A"/>
    <w:rsid w:val="00F2547F"/>
    <w:rsid w:val="00F27E72"/>
    <w:rsid w:val="00F33902"/>
    <w:rsid w:val="00F353EF"/>
    <w:rsid w:val="00F3716A"/>
    <w:rsid w:val="00F45339"/>
    <w:rsid w:val="00F64D1D"/>
    <w:rsid w:val="00F65840"/>
    <w:rsid w:val="00F90391"/>
    <w:rsid w:val="00F95E57"/>
    <w:rsid w:val="00FA72A4"/>
    <w:rsid w:val="00FB015E"/>
    <w:rsid w:val="00FB1F3D"/>
    <w:rsid w:val="00FC46B6"/>
    <w:rsid w:val="00FD00BC"/>
    <w:rsid w:val="00FD7DB4"/>
    <w:rsid w:val="00FE4576"/>
    <w:rsid w:val="00FF0E5F"/>
    <w:rsid w:val="00FF38FC"/>
    <w:rsid w:val="010B754C"/>
    <w:rsid w:val="010F7816"/>
    <w:rsid w:val="011E57DA"/>
    <w:rsid w:val="0133154E"/>
    <w:rsid w:val="016F3EB7"/>
    <w:rsid w:val="0172598A"/>
    <w:rsid w:val="0174148F"/>
    <w:rsid w:val="01E47E27"/>
    <w:rsid w:val="01ED33ED"/>
    <w:rsid w:val="01F75E05"/>
    <w:rsid w:val="021F7B52"/>
    <w:rsid w:val="02246FB2"/>
    <w:rsid w:val="02291BAF"/>
    <w:rsid w:val="02364EE4"/>
    <w:rsid w:val="025045FD"/>
    <w:rsid w:val="025B38BD"/>
    <w:rsid w:val="02742ACF"/>
    <w:rsid w:val="02847B32"/>
    <w:rsid w:val="02D7463C"/>
    <w:rsid w:val="02F33EBA"/>
    <w:rsid w:val="031B3B74"/>
    <w:rsid w:val="03227EBD"/>
    <w:rsid w:val="034D6480"/>
    <w:rsid w:val="03644EFD"/>
    <w:rsid w:val="036D3133"/>
    <w:rsid w:val="03955F86"/>
    <w:rsid w:val="03A95958"/>
    <w:rsid w:val="03B74ADF"/>
    <w:rsid w:val="03E6347C"/>
    <w:rsid w:val="03EB1FB1"/>
    <w:rsid w:val="040F70A2"/>
    <w:rsid w:val="041671AE"/>
    <w:rsid w:val="042F079A"/>
    <w:rsid w:val="046B0CFA"/>
    <w:rsid w:val="04753D68"/>
    <w:rsid w:val="04865762"/>
    <w:rsid w:val="04B35F5F"/>
    <w:rsid w:val="04B50642"/>
    <w:rsid w:val="04B60820"/>
    <w:rsid w:val="04B867C5"/>
    <w:rsid w:val="04BA565A"/>
    <w:rsid w:val="04BE740C"/>
    <w:rsid w:val="04C25672"/>
    <w:rsid w:val="04C849D5"/>
    <w:rsid w:val="04E72C49"/>
    <w:rsid w:val="04F9117E"/>
    <w:rsid w:val="05086F8B"/>
    <w:rsid w:val="055B5D80"/>
    <w:rsid w:val="058D44A5"/>
    <w:rsid w:val="05B65439"/>
    <w:rsid w:val="05C27B27"/>
    <w:rsid w:val="05DE3186"/>
    <w:rsid w:val="060B3B2B"/>
    <w:rsid w:val="060F04D6"/>
    <w:rsid w:val="0614691B"/>
    <w:rsid w:val="065E2254"/>
    <w:rsid w:val="066E718E"/>
    <w:rsid w:val="06733A7B"/>
    <w:rsid w:val="06934993"/>
    <w:rsid w:val="06BF00F1"/>
    <w:rsid w:val="06EB67B7"/>
    <w:rsid w:val="07020196"/>
    <w:rsid w:val="07A01D24"/>
    <w:rsid w:val="07EE6DE8"/>
    <w:rsid w:val="08095545"/>
    <w:rsid w:val="08202C3E"/>
    <w:rsid w:val="08541029"/>
    <w:rsid w:val="085A3EF1"/>
    <w:rsid w:val="085F360E"/>
    <w:rsid w:val="086A053E"/>
    <w:rsid w:val="086A3C35"/>
    <w:rsid w:val="08824D35"/>
    <w:rsid w:val="088C41B2"/>
    <w:rsid w:val="08D666C0"/>
    <w:rsid w:val="09205C75"/>
    <w:rsid w:val="092839AE"/>
    <w:rsid w:val="09395A4A"/>
    <w:rsid w:val="0939616D"/>
    <w:rsid w:val="093A08ED"/>
    <w:rsid w:val="094662F2"/>
    <w:rsid w:val="094A267E"/>
    <w:rsid w:val="09743D9E"/>
    <w:rsid w:val="098F660A"/>
    <w:rsid w:val="09D02C59"/>
    <w:rsid w:val="09E773D7"/>
    <w:rsid w:val="09EE3AEC"/>
    <w:rsid w:val="09EF64F8"/>
    <w:rsid w:val="09F1199A"/>
    <w:rsid w:val="09FA7E57"/>
    <w:rsid w:val="0A2754F6"/>
    <w:rsid w:val="0A2C3BFB"/>
    <w:rsid w:val="0A41543C"/>
    <w:rsid w:val="0A810829"/>
    <w:rsid w:val="0AB1382D"/>
    <w:rsid w:val="0AE273DF"/>
    <w:rsid w:val="0B337B7A"/>
    <w:rsid w:val="0B36479D"/>
    <w:rsid w:val="0B62594B"/>
    <w:rsid w:val="0B6545EA"/>
    <w:rsid w:val="0B715E7C"/>
    <w:rsid w:val="0B894EB6"/>
    <w:rsid w:val="0BBE3DCA"/>
    <w:rsid w:val="0BC30F44"/>
    <w:rsid w:val="0BE04A3E"/>
    <w:rsid w:val="0C09275C"/>
    <w:rsid w:val="0C0A2557"/>
    <w:rsid w:val="0C0E56A2"/>
    <w:rsid w:val="0C336660"/>
    <w:rsid w:val="0C5601C2"/>
    <w:rsid w:val="0C6D2438"/>
    <w:rsid w:val="0C8634E0"/>
    <w:rsid w:val="0CD40A6F"/>
    <w:rsid w:val="0CF96868"/>
    <w:rsid w:val="0D1D58C5"/>
    <w:rsid w:val="0D1F7877"/>
    <w:rsid w:val="0D44335D"/>
    <w:rsid w:val="0D5776BC"/>
    <w:rsid w:val="0D6901CB"/>
    <w:rsid w:val="0DBD54E4"/>
    <w:rsid w:val="0DC271C8"/>
    <w:rsid w:val="0DE607A6"/>
    <w:rsid w:val="0DF51572"/>
    <w:rsid w:val="0DFC245C"/>
    <w:rsid w:val="0E142FAE"/>
    <w:rsid w:val="0E2037A7"/>
    <w:rsid w:val="0E797A3C"/>
    <w:rsid w:val="0E8B1298"/>
    <w:rsid w:val="0E9D25B8"/>
    <w:rsid w:val="0EAA54D7"/>
    <w:rsid w:val="0EB209B6"/>
    <w:rsid w:val="0EB73917"/>
    <w:rsid w:val="0EC81CD6"/>
    <w:rsid w:val="0ED61D49"/>
    <w:rsid w:val="0EF56AF5"/>
    <w:rsid w:val="0F020D15"/>
    <w:rsid w:val="0F1A4868"/>
    <w:rsid w:val="0FAF154E"/>
    <w:rsid w:val="0FF335D3"/>
    <w:rsid w:val="10064ACC"/>
    <w:rsid w:val="10090BD1"/>
    <w:rsid w:val="100C2EB8"/>
    <w:rsid w:val="102207FF"/>
    <w:rsid w:val="105C2F9D"/>
    <w:rsid w:val="105D01AF"/>
    <w:rsid w:val="106A0C6D"/>
    <w:rsid w:val="1080429D"/>
    <w:rsid w:val="108D59A5"/>
    <w:rsid w:val="10A90486"/>
    <w:rsid w:val="10FD5E09"/>
    <w:rsid w:val="11412949"/>
    <w:rsid w:val="1142779E"/>
    <w:rsid w:val="11653F34"/>
    <w:rsid w:val="11743AF3"/>
    <w:rsid w:val="11801B3C"/>
    <w:rsid w:val="11836021"/>
    <w:rsid w:val="11914D5E"/>
    <w:rsid w:val="11B01BF6"/>
    <w:rsid w:val="11C748C9"/>
    <w:rsid w:val="11F32C36"/>
    <w:rsid w:val="1245545C"/>
    <w:rsid w:val="12B704FC"/>
    <w:rsid w:val="12CB739C"/>
    <w:rsid w:val="12E127BA"/>
    <w:rsid w:val="12FF0D79"/>
    <w:rsid w:val="13052375"/>
    <w:rsid w:val="13162537"/>
    <w:rsid w:val="133A2B6A"/>
    <w:rsid w:val="13750F52"/>
    <w:rsid w:val="137C4A02"/>
    <w:rsid w:val="13C81B15"/>
    <w:rsid w:val="13E84EEF"/>
    <w:rsid w:val="13FC2A9F"/>
    <w:rsid w:val="1449515E"/>
    <w:rsid w:val="14E51698"/>
    <w:rsid w:val="14F71B1A"/>
    <w:rsid w:val="150347D6"/>
    <w:rsid w:val="15114525"/>
    <w:rsid w:val="151A749E"/>
    <w:rsid w:val="15281666"/>
    <w:rsid w:val="152B20CC"/>
    <w:rsid w:val="15397AB6"/>
    <w:rsid w:val="155B5B85"/>
    <w:rsid w:val="156F2175"/>
    <w:rsid w:val="15830BD9"/>
    <w:rsid w:val="15D556C0"/>
    <w:rsid w:val="15F04F52"/>
    <w:rsid w:val="15F7190A"/>
    <w:rsid w:val="15FE0FA0"/>
    <w:rsid w:val="162E5C3A"/>
    <w:rsid w:val="1663543C"/>
    <w:rsid w:val="16906814"/>
    <w:rsid w:val="169501D3"/>
    <w:rsid w:val="169F1E52"/>
    <w:rsid w:val="16B16CB4"/>
    <w:rsid w:val="16F52136"/>
    <w:rsid w:val="175C7915"/>
    <w:rsid w:val="175D5A0D"/>
    <w:rsid w:val="17701C5B"/>
    <w:rsid w:val="177D3A38"/>
    <w:rsid w:val="17800087"/>
    <w:rsid w:val="178021B7"/>
    <w:rsid w:val="179C2E40"/>
    <w:rsid w:val="179E4793"/>
    <w:rsid w:val="17F900F5"/>
    <w:rsid w:val="180B1599"/>
    <w:rsid w:val="18466FE1"/>
    <w:rsid w:val="184A7DAD"/>
    <w:rsid w:val="185C4BC0"/>
    <w:rsid w:val="18943A4F"/>
    <w:rsid w:val="18980DD3"/>
    <w:rsid w:val="18A334B5"/>
    <w:rsid w:val="18D54C36"/>
    <w:rsid w:val="18E6487A"/>
    <w:rsid w:val="191A0F03"/>
    <w:rsid w:val="191B2620"/>
    <w:rsid w:val="19825B94"/>
    <w:rsid w:val="198529BD"/>
    <w:rsid w:val="19C40EEE"/>
    <w:rsid w:val="1A0629EC"/>
    <w:rsid w:val="1A0C5DC7"/>
    <w:rsid w:val="1A104EEE"/>
    <w:rsid w:val="1A172723"/>
    <w:rsid w:val="1A1F7DB4"/>
    <w:rsid w:val="1A3A1D8E"/>
    <w:rsid w:val="1A612A75"/>
    <w:rsid w:val="1A884AEC"/>
    <w:rsid w:val="1A901D00"/>
    <w:rsid w:val="1A9857C2"/>
    <w:rsid w:val="1AA5624F"/>
    <w:rsid w:val="1AD41FF2"/>
    <w:rsid w:val="1AEC56B4"/>
    <w:rsid w:val="1B0834B3"/>
    <w:rsid w:val="1B420BC9"/>
    <w:rsid w:val="1B5D1546"/>
    <w:rsid w:val="1B863BC6"/>
    <w:rsid w:val="1B955A38"/>
    <w:rsid w:val="1BA85AC5"/>
    <w:rsid w:val="1BAD653B"/>
    <w:rsid w:val="1BAF3DA8"/>
    <w:rsid w:val="1BBB45EE"/>
    <w:rsid w:val="1BC33E40"/>
    <w:rsid w:val="1BC96D2E"/>
    <w:rsid w:val="1BCF4586"/>
    <w:rsid w:val="1BE00FBC"/>
    <w:rsid w:val="1BEE19AF"/>
    <w:rsid w:val="1C601E52"/>
    <w:rsid w:val="1C7068AB"/>
    <w:rsid w:val="1C9130AC"/>
    <w:rsid w:val="1CA058BE"/>
    <w:rsid w:val="1CB55F2A"/>
    <w:rsid w:val="1D0C0E06"/>
    <w:rsid w:val="1D1C41E8"/>
    <w:rsid w:val="1D736141"/>
    <w:rsid w:val="1D8328EA"/>
    <w:rsid w:val="1DA949DF"/>
    <w:rsid w:val="1DB031D3"/>
    <w:rsid w:val="1DB70C28"/>
    <w:rsid w:val="1DD04D61"/>
    <w:rsid w:val="1DE23403"/>
    <w:rsid w:val="1DE62AB1"/>
    <w:rsid w:val="1DF046F6"/>
    <w:rsid w:val="1DF73BAD"/>
    <w:rsid w:val="1E3C07DC"/>
    <w:rsid w:val="1E654491"/>
    <w:rsid w:val="1E75518E"/>
    <w:rsid w:val="1E9D130C"/>
    <w:rsid w:val="1EA26D96"/>
    <w:rsid w:val="1EBD3848"/>
    <w:rsid w:val="1ECD10D3"/>
    <w:rsid w:val="1EDC7C14"/>
    <w:rsid w:val="1EE96F18"/>
    <w:rsid w:val="1F1F22A9"/>
    <w:rsid w:val="1F7E4B0C"/>
    <w:rsid w:val="1F813F49"/>
    <w:rsid w:val="1FBF45BA"/>
    <w:rsid w:val="1FD6379E"/>
    <w:rsid w:val="1FE66C74"/>
    <w:rsid w:val="20003464"/>
    <w:rsid w:val="200239DD"/>
    <w:rsid w:val="20162FF5"/>
    <w:rsid w:val="203F7987"/>
    <w:rsid w:val="205C2CB5"/>
    <w:rsid w:val="20BE0068"/>
    <w:rsid w:val="20D930A7"/>
    <w:rsid w:val="20F3349C"/>
    <w:rsid w:val="20F73E7B"/>
    <w:rsid w:val="211C0812"/>
    <w:rsid w:val="21496D23"/>
    <w:rsid w:val="218932A2"/>
    <w:rsid w:val="21970DA6"/>
    <w:rsid w:val="21B74527"/>
    <w:rsid w:val="21C431C2"/>
    <w:rsid w:val="21CC6F2B"/>
    <w:rsid w:val="22271EA3"/>
    <w:rsid w:val="22427D01"/>
    <w:rsid w:val="22443C9B"/>
    <w:rsid w:val="224E4012"/>
    <w:rsid w:val="22AA6E05"/>
    <w:rsid w:val="22C97C60"/>
    <w:rsid w:val="231177A3"/>
    <w:rsid w:val="23171452"/>
    <w:rsid w:val="232A07AA"/>
    <w:rsid w:val="232C0FFD"/>
    <w:rsid w:val="238F2F3E"/>
    <w:rsid w:val="23A10A50"/>
    <w:rsid w:val="23A45985"/>
    <w:rsid w:val="23A52CB0"/>
    <w:rsid w:val="23C86687"/>
    <w:rsid w:val="23D80264"/>
    <w:rsid w:val="245F4DCD"/>
    <w:rsid w:val="2466373F"/>
    <w:rsid w:val="24725B09"/>
    <w:rsid w:val="247925F4"/>
    <w:rsid w:val="24AC37A4"/>
    <w:rsid w:val="24D2765A"/>
    <w:rsid w:val="24F947C6"/>
    <w:rsid w:val="251063C7"/>
    <w:rsid w:val="251304DF"/>
    <w:rsid w:val="252B4496"/>
    <w:rsid w:val="25544939"/>
    <w:rsid w:val="2571158D"/>
    <w:rsid w:val="2580532E"/>
    <w:rsid w:val="25987EF3"/>
    <w:rsid w:val="25991440"/>
    <w:rsid w:val="25AD4C5E"/>
    <w:rsid w:val="25C0099A"/>
    <w:rsid w:val="25E6337A"/>
    <w:rsid w:val="25F061D8"/>
    <w:rsid w:val="25FC44E8"/>
    <w:rsid w:val="26073E59"/>
    <w:rsid w:val="261F247D"/>
    <w:rsid w:val="2659310F"/>
    <w:rsid w:val="26670C57"/>
    <w:rsid w:val="266D02C9"/>
    <w:rsid w:val="26AE32CC"/>
    <w:rsid w:val="273501BD"/>
    <w:rsid w:val="27407E3F"/>
    <w:rsid w:val="274A1684"/>
    <w:rsid w:val="27571FF5"/>
    <w:rsid w:val="27A4265F"/>
    <w:rsid w:val="27A77B24"/>
    <w:rsid w:val="27AD1BC7"/>
    <w:rsid w:val="27D2405A"/>
    <w:rsid w:val="27E0399A"/>
    <w:rsid w:val="280D3963"/>
    <w:rsid w:val="28277425"/>
    <w:rsid w:val="28325E93"/>
    <w:rsid w:val="285B60C6"/>
    <w:rsid w:val="285E052E"/>
    <w:rsid w:val="286A44FE"/>
    <w:rsid w:val="288A55B0"/>
    <w:rsid w:val="28990BD1"/>
    <w:rsid w:val="28AE6F69"/>
    <w:rsid w:val="28B30718"/>
    <w:rsid w:val="28C40669"/>
    <w:rsid w:val="28E03157"/>
    <w:rsid w:val="28E81507"/>
    <w:rsid w:val="28E91530"/>
    <w:rsid w:val="291201FC"/>
    <w:rsid w:val="29130F60"/>
    <w:rsid w:val="293A0C0D"/>
    <w:rsid w:val="29527B2A"/>
    <w:rsid w:val="295533FD"/>
    <w:rsid w:val="295C42B4"/>
    <w:rsid w:val="2965196B"/>
    <w:rsid w:val="29A917DF"/>
    <w:rsid w:val="2A0258A1"/>
    <w:rsid w:val="2A1F1DAD"/>
    <w:rsid w:val="2A286F03"/>
    <w:rsid w:val="2A416554"/>
    <w:rsid w:val="2A646E21"/>
    <w:rsid w:val="2A665875"/>
    <w:rsid w:val="2A6E7C32"/>
    <w:rsid w:val="2A7877D3"/>
    <w:rsid w:val="2AA07756"/>
    <w:rsid w:val="2AB92282"/>
    <w:rsid w:val="2ADF1162"/>
    <w:rsid w:val="2AF253F9"/>
    <w:rsid w:val="2B2C49BC"/>
    <w:rsid w:val="2B607B25"/>
    <w:rsid w:val="2BAC6BAE"/>
    <w:rsid w:val="2BCD7105"/>
    <w:rsid w:val="2BE275A8"/>
    <w:rsid w:val="2C0D2DE9"/>
    <w:rsid w:val="2C0D6C6C"/>
    <w:rsid w:val="2C1D71F7"/>
    <w:rsid w:val="2C386219"/>
    <w:rsid w:val="2C4608EF"/>
    <w:rsid w:val="2C4947EB"/>
    <w:rsid w:val="2C512564"/>
    <w:rsid w:val="2C690257"/>
    <w:rsid w:val="2C9B0D02"/>
    <w:rsid w:val="2CA10BC8"/>
    <w:rsid w:val="2CC800E7"/>
    <w:rsid w:val="2D050484"/>
    <w:rsid w:val="2D2F61A0"/>
    <w:rsid w:val="2D3670BF"/>
    <w:rsid w:val="2D3C4C56"/>
    <w:rsid w:val="2D7A5F1F"/>
    <w:rsid w:val="2DA1244A"/>
    <w:rsid w:val="2DC23222"/>
    <w:rsid w:val="2DC960EE"/>
    <w:rsid w:val="2DF002DE"/>
    <w:rsid w:val="2DFA063C"/>
    <w:rsid w:val="2DFE3D3F"/>
    <w:rsid w:val="2E08590D"/>
    <w:rsid w:val="2E6701A0"/>
    <w:rsid w:val="2E773BB0"/>
    <w:rsid w:val="2E8C3DE0"/>
    <w:rsid w:val="2EA15C82"/>
    <w:rsid w:val="2ECE08D3"/>
    <w:rsid w:val="2F107A3C"/>
    <w:rsid w:val="2F125302"/>
    <w:rsid w:val="2F1B053C"/>
    <w:rsid w:val="2F1F74E3"/>
    <w:rsid w:val="2F2404CF"/>
    <w:rsid w:val="2F3963E6"/>
    <w:rsid w:val="2F4D1220"/>
    <w:rsid w:val="2F7C56B2"/>
    <w:rsid w:val="2FAF24A8"/>
    <w:rsid w:val="2FB0320D"/>
    <w:rsid w:val="2FCC265E"/>
    <w:rsid w:val="2FE57C81"/>
    <w:rsid w:val="30142179"/>
    <w:rsid w:val="30233480"/>
    <w:rsid w:val="302F4058"/>
    <w:rsid w:val="30333C1E"/>
    <w:rsid w:val="30454A1F"/>
    <w:rsid w:val="304A0FDA"/>
    <w:rsid w:val="305C7041"/>
    <w:rsid w:val="30876C55"/>
    <w:rsid w:val="30956EB3"/>
    <w:rsid w:val="30EF2DE3"/>
    <w:rsid w:val="30F00D2A"/>
    <w:rsid w:val="310E4446"/>
    <w:rsid w:val="3147187C"/>
    <w:rsid w:val="316D635E"/>
    <w:rsid w:val="317524EB"/>
    <w:rsid w:val="317D56B7"/>
    <w:rsid w:val="319D5F11"/>
    <w:rsid w:val="31A56C43"/>
    <w:rsid w:val="31AD24A7"/>
    <w:rsid w:val="31B7587C"/>
    <w:rsid w:val="31BF4D2A"/>
    <w:rsid w:val="31D72C7C"/>
    <w:rsid w:val="324559D4"/>
    <w:rsid w:val="32994BA6"/>
    <w:rsid w:val="329B00FE"/>
    <w:rsid w:val="32BC03FF"/>
    <w:rsid w:val="32C33B96"/>
    <w:rsid w:val="32FF5076"/>
    <w:rsid w:val="331855E4"/>
    <w:rsid w:val="331F19A6"/>
    <w:rsid w:val="334861CD"/>
    <w:rsid w:val="334A51A1"/>
    <w:rsid w:val="3369728E"/>
    <w:rsid w:val="33760D9E"/>
    <w:rsid w:val="338152D0"/>
    <w:rsid w:val="340F05EB"/>
    <w:rsid w:val="34406BBD"/>
    <w:rsid w:val="34435715"/>
    <w:rsid w:val="34552084"/>
    <w:rsid w:val="345B1B67"/>
    <w:rsid w:val="348E14DC"/>
    <w:rsid w:val="34B30233"/>
    <w:rsid w:val="34FE7BE8"/>
    <w:rsid w:val="3505363A"/>
    <w:rsid w:val="35322836"/>
    <w:rsid w:val="353807D9"/>
    <w:rsid w:val="35EA332B"/>
    <w:rsid w:val="35F0573C"/>
    <w:rsid w:val="361013F3"/>
    <w:rsid w:val="362D4ED7"/>
    <w:rsid w:val="367578F9"/>
    <w:rsid w:val="369156AA"/>
    <w:rsid w:val="36B26B0D"/>
    <w:rsid w:val="36FE4D69"/>
    <w:rsid w:val="36FF58F4"/>
    <w:rsid w:val="37095F27"/>
    <w:rsid w:val="370C1704"/>
    <w:rsid w:val="372E2F45"/>
    <w:rsid w:val="3731398B"/>
    <w:rsid w:val="373B242C"/>
    <w:rsid w:val="37435298"/>
    <w:rsid w:val="374C01AE"/>
    <w:rsid w:val="37B26335"/>
    <w:rsid w:val="37BA6C91"/>
    <w:rsid w:val="37CC21B3"/>
    <w:rsid w:val="37E82646"/>
    <w:rsid w:val="37FC7BB3"/>
    <w:rsid w:val="380F7EE7"/>
    <w:rsid w:val="38372400"/>
    <w:rsid w:val="38444689"/>
    <w:rsid w:val="385563D4"/>
    <w:rsid w:val="386128C8"/>
    <w:rsid w:val="38821FC9"/>
    <w:rsid w:val="389F6FE4"/>
    <w:rsid w:val="38A12FFC"/>
    <w:rsid w:val="38A32201"/>
    <w:rsid w:val="38D41EB1"/>
    <w:rsid w:val="39206B72"/>
    <w:rsid w:val="397060DD"/>
    <w:rsid w:val="397E11BD"/>
    <w:rsid w:val="39987252"/>
    <w:rsid w:val="39A93EEB"/>
    <w:rsid w:val="39BD1F63"/>
    <w:rsid w:val="39DF42E5"/>
    <w:rsid w:val="3A224490"/>
    <w:rsid w:val="3A236F46"/>
    <w:rsid w:val="3A54616B"/>
    <w:rsid w:val="3A624560"/>
    <w:rsid w:val="3A792EAC"/>
    <w:rsid w:val="3A814C84"/>
    <w:rsid w:val="3A8A47A0"/>
    <w:rsid w:val="3AA83949"/>
    <w:rsid w:val="3AA90CED"/>
    <w:rsid w:val="3AFA5B7D"/>
    <w:rsid w:val="3B334C4C"/>
    <w:rsid w:val="3B4547C5"/>
    <w:rsid w:val="3B5B73AE"/>
    <w:rsid w:val="3BB9723D"/>
    <w:rsid w:val="3BD719F0"/>
    <w:rsid w:val="3BEC6435"/>
    <w:rsid w:val="3C491471"/>
    <w:rsid w:val="3C785D11"/>
    <w:rsid w:val="3CAD3A63"/>
    <w:rsid w:val="3CB80BC1"/>
    <w:rsid w:val="3CD941BF"/>
    <w:rsid w:val="3CFC07BD"/>
    <w:rsid w:val="3D011441"/>
    <w:rsid w:val="3D0709E2"/>
    <w:rsid w:val="3D186D84"/>
    <w:rsid w:val="3D69423F"/>
    <w:rsid w:val="3D9D5580"/>
    <w:rsid w:val="3DE2698B"/>
    <w:rsid w:val="3E1807B5"/>
    <w:rsid w:val="3E1C578A"/>
    <w:rsid w:val="3E552B37"/>
    <w:rsid w:val="3E8E69C1"/>
    <w:rsid w:val="3EBD0ABF"/>
    <w:rsid w:val="3EDB5335"/>
    <w:rsid w:val="3F004366"/>
    <w:rsid w:val="3F192A21"/>
    <w:rsid w:val="3F2F36CC"/>
    <w:rsid w:val="3F4A4BB1"/>
    <w:rsid w:val="3F620D7A"/>
    <w:rsid w:val="3F6A3704"/>
    <w:rsid w:val="3F7C5EB4"/>
    <w:rsid w:val="3F944325"/>
    <w:rsid w:val="3F9E78D8"/>
    <w:rsid w:val="3FD05CBC"/>
    <w:rsid w:val="3FFC61FC"/>
    <w:rsid w:val="400D2454"/>
    <w:rsid w:val="402D29FD"/>
    <w:rsid w:val="40526CEE"/>
    <w:rsid w:val="40946718"/>
    <w:rsid w:val="40984A84"/>
    <w:rsid w:val="409865AB"/>
    <w:rsid w:val="40B11474"/>
    <w:rsid w:val="40C82F12"/>
    <w:rsid w:val="40CC5660"/>
    <w:rsid w:val="40D376AF"/>
    <w:rsid w:val="40ED3B39"/>
    <w:rsid w:val="41194A17"/>
    <w:rsid w:val="41805E49"/>
    <w:rsid w:val="419B1927"/>
    <w:rsid w:val="4207023E"/>
    <w:rsid w:val="42073201"/>
    <w:rsid w:val="4226306D"/>
    <w:rsid w:val="42277D0A"/>
    <w:rsid w:val="42327BFB"/>
    <w:rsid w:val="42457EE0"/>
    <w:rsid w:val="425A4277"/>
    <w:rsid w:val="42677416"/>
    <w:rsid w:val="42B83554"/>
    <w:rsid w:val="42D27782"/>
    <w:rsid w:val="42D50928"/>
    <w:rsid w:val="42D60D81"/>
    <w:rsid w:val="42DF3B1E"/>
    <w:rsid w:val="43085119"/>
    <w:rsid w:val="433F2538"/>
    <w:rsid w:val="434848B8"/>
    <w:rsid w:val="43697942"/>
    <w:rsid w:val="4396596F"/>
    <w:rsid w:val="439C1104"/>
    <w:rsid w:val="43D5790D"/>
    <w:rsid w:val="43DA378E"/>
    <w:rsid w:val="43DE16B8"/>
    <w:rsid w:val="43EC4E3F"/>
    <w:rsid w:val="43EC6160"/>
    <w:rsid w:val="440811C0"/>
    <w:rsid w:val="440C1E08"/>
    <w:rsid w:val="441E6DFE"/>
    <w:rsid w:val="44357F95"/>
    <w:rsid w:val="44426CAB"/>
    <w:rsid w:val="444D379A"/>
    <w:rsid w:val="44507919"/>
    <w:rsid w:val="44670238"/>
    <w:rsid w:val="448D104C"/>
    <w:rsid w:val="44D433C0"/>
    <w:rsid w:val="44D8665F"/>
    <w:rsid w:val="44DD22F9"/>
    <w:rsid w:val="44EF2802"/>
    <w:rsid w:val="450F1135"/>
    <w:rsid w:val="454975D9"/>
    <w:rsid w:val="455C560A"/>
    <w:rsid w:val="45753D7F"/>
    <w:rsid w:val="458536BA"/>
    <w:rsid w:val="45870A53"/>
    <w:rsid w:val="45AE4124"/>
    <w:rsid w:val="45B1232D"/>
    <w:rsid w:val="45BF42EC"/>
    <w:rsid w:val="45DF048A"/>
    <w:rsid w:val="462506E4"/>
    <w:rsid w:val="462B7CF8"/>
    <w:rsid w:val="46357F27"/>
    <w:rsid w:val="463A2592"/>
    <w:rsid w:val="46771688"/>
    <w:rsid w:val="46801103"/>
    <w:rsid w:val="4684530D"/>
    <w:rsid w:val="46956C2B"/>
    <w:rsid w:val="46972537"/>
    <w:rsid w:val="46B82FBA"/>
    <w:rsid w:val="46BC0645"/>
    <w:rsid w:val="470D0E1B"/>
    <w:rsid w:val="47130520"/>
    <w:rsid w:val="47297D9D"/>
    <w:rsid w:val="47BC61AE"/>
    <w:rsid w:val="47C13AFF"/>
    <w:rsid w:val="47C152C2"/>
    <w:rsid w:val="47C92656"/>
    <w:rsid w:val="47DD4EC6"/>
    <w:rsid w:val="47DF5E3B"/>
    <w:rsid w:val="481C10E0"/>
    <w:rsid w:val="48251470"/>
    <w:rsid w:val="482C6138"/>
    <w:rsid w:val="483416A1"/>
    <w:rsid w:val="48347C54"/>
    <w:rsid w:val="48515E3B"/>
    <w:rsid w:val="485B34E8"/>
    <w:rsid w:val="48A9244D"/>
    <w:rsid w:val="48F14FA0"/>
    <w:rsid w:val="48F16E13"/>
    <w:rsid w:val="490D4952"/>
    <w:rsid w:val="49272193"/>
    <w:rsid w:val="493D5F69"/>
    <w:rsid w:val="494D7FA4"/>
    <w:rsid w:val="49622763"/>
    <w:rsid w:val="496306DF"/>
    <w:rsid w:val="496A1BCF"/>
    <w:rsid w:val="49860930"/>
    <w:rsid w:val="49BB7475"/>
    <w:rsid w:val="49BD3D46"/>
    <w:rsid w:val="49C50584"/>
    <w:rsid w:val="49CB5885"/>
    <w:rsid w:val="49F00780"/>
    <w:rsid w:val="49FE6379"/>
    <w:rsid w:val="4A007E75"/>
    <w:rsid w:val="4A014706"/>
    <w:rsid w:val="4A3C3F64"/>
    <w:rsid w:val="4A516650"/>
    <w:rsid w:val="4A7506A5"/>
    <w:rsid w:val="4A82685C"/>
    <w:rsid w:val="4AAF2603"/>
    <w:rsid w:val="4AB4160E"/>
    <w:rsid w:val="4AE76DF5"/>
    <w:rsid w:val="4AF730BE"/>
    <w:rsid w:val="4B030F99"/>
    <w:rsid w:val="4B095471"/>
    <w:rsid w:val="4B1F32B7"/>
    <w:rsid w:val="4B3D7273"/>
    <w:rsid w:val="4B5722C5"/>
    <w:rsid w:val="4B6C498E"/>
    <w:rsid w:val="4BA03FE2"/>
    <w:rsid w:val="4BA71D2F"/>
    <w:rsid w:val="4BB070EC"/>
    <w:rsid w:val="4BFA2751"/>
    <w:rsid w:val="4C0D5103"/>
    <w:rsid w:val="4C17582A"/>
    <w:rsid w:val="4C5A1948"/>
    <w:rsid w:val="4C6B56E1"/>
    <w:rsid w:val="4C8F5C91"/>
    <w:rsid w:val="4C9870F0"/>
    <w:rsid w:val="4CBF0845"/>
    <w:rsid w:val="4CC742D1"/>
    <w:rsid w:val="4CD13691"/>
    <w:rsid w:val="4CDD10AB"/>
    <w:rsid w:val="4CDD5959"/>
    <w:rsid w:val="4CEF15C2"/>
    <w:rsid w:val="4CF43D21"/>
    <w:rsid w:val="4CF70D69"/>
    <w:rsid w:val="4D4472D3"/>
    <w:rsid w:val="4D517004"/>
    <w:rsid w:val="4D9F0D41"/>
    <w:rsid w:val="4DA8670F"/>
    <w:rsid w:val="4DC136B5"/>
    <w:rsid w:val="4DD457A8"/>
    <w:rsid w:val="4E2C3847"/>
    <w:rsid w:val="4E306E8D"/>
    <w:rsid w:val="4E3465B8"/>
    <w:rsid w:val="4E471115"/>
    <w:rsid w:val="4E895219"/>
    <w:rsid w:val="4EAE27EE"/>
    <w:rsid w:val="4EE26E8F"/>
    <w:rsid w:val="4EFB535E"/>
    <w:rsid w:val="4F0C774A"/>
    <w:rsid w:val="4F3658AF"/>
    <w:rsid w:val="4F6E7241"/>
    <w:rsid w:val="4F9D6A24"/>
    <w:rsid w:val="4F9E0E9C"/>
    <w:rsid w:val="4FA341F4"/>
    <w:rsid w:val="4FA97707"/>
    <w:rsid w:val="4FB4213C"/>
    <w:rsid w:val="4FC5502D"/>
    <w:rsid w:val="4FC80CA4"/>
    <w:rsid w:val="4FF135A3"/>
    <w:rsid w:val="4FF54792"/>
    <w:rsid w:val="500035C1"/>
    <w:rsid w:val="500B4625"/>
    <w:rsid w:val="501C0F4A"/>
    <w:rsid w:val="501C6805"/>
    <w:rsid w:val="50263331"/>
    <w:rsid w:val="502D7F3E"/>
    <w:rsid w:val="502E6201"/>
    <w:rsid w:val="503A5334"/>
    <w:rsid w:val="503B04A8"/>
    <w:rsid w:val="505532A4"/>
    <w:rsid w:val="505D506D"/>
    <w:rsid w:val="50840F36"/>
    <w:rsid w:val="50881934"/>
    <w:rsid w:val="509C28FA"/>
    <w:rsid w:val="50E43BCF"/>
    <w:rsid w:val="51050166"/>
    <w:rsid w:val="5134160A"/>
    <w:rsid w:val="513A240B"/>
    <w:rsid w:val="514970C4"/>
    <w:rsid w:val="51530E41"/>
    <w:rsid w:val="515F544A"/>
    <w:rsid w:val="51630AC0"/>
    <w:rsid w:val="517334D3"/>
    <w:rsid w:val="517D21DB"/>
    <w:rsid w:val="518E22BF"/>
    <w:rsid w:val="518F0132"/>
    <w:rsid w:val="51B721B5"/>
    <w:rsid w:val="51D318FA"/>
    <w:rsid w:val="51D65E49"/>
    <w:rsid w:val="5200589E"/>
    <w:rsid w:val="520F7D22"/>
    <w:rsid w:val="52112E12"/>
    <w:rsid w:val="521476D1"/>
    <w:rsid w:val="522A494E"/>
    <w:rsid w:val="523125AC"/>
    <w:rsid w:val="52381DA6"/>
    <w:rsid w:val="52492715"/>
    <w:rsid w:val="5267770B"/>
    <w:rsid w:val="526D3E30"/>
    <w:rsid w:val="52785DB6"/>
    <w:rsid w:val="527E61E1"/>
    <w:rsid w:val="52884D8E"/>
    <w:rsid w:val="52E60F4D"/>
    <w:rsid w:val="53125C8B"/>
    <w:rsid w:val="53312BDC"/>
    <w:rsid w:val="53313341"/>
    <w:rsid w:val="533B5C7A"/>
    <w:rsid w:val="534B1700"/>
    <w:rsid w:val="53883702"/>
    <w:rsid w:val="53F5704B"/>
    <w:rsid w:val="54040C2A"/>
    <w:rsid w:val="542602A7"/>
    <w:rsid w:val="54401174"/>
    <w:rsid w:val="547519F6"/>
    <w:rsid w:val="54821002"/>
    <w:rsid w:val="54B347A1"/>
    <w:rsid w:val="55250E6E"/>
    <w:rsid w:val="552B36DA"/>
    <w:rsid w:val="5542774E"/>
    <w:rsid w:val="554D786E"/>
    <w:rsid w:val="55764481"/>
    <w:rsid w:val="557B2940"/>
    <w:rsid w:val="558F1610"/>
    <w:rsid w:val="55CE6A14"/>
    <w:rsid w:val="55DE4356"/>
    <w:rsid w:val="55E11290"/>
    <w:rsid w:val="55E3434D"/>
    <w:rsid w:val="56155043"/>
    <w:rsid w:val="564369AE"/>
    <w:rsid w:val="564E774D"/>
    <w:rsid w:val="56626846"/>
    <w:rsid w:val="56776B01"/>
    <w:rsid w:val="56B10C4F"/>
    <w:rsid w:val="56B55AE5"/>
    <w:rsid w:val="56BC6E44"/>
    <w:rsid w:val="56C43C3D"/>
    <w:rsid w:val="56FD25FE"/>
    <w:rsid w:val="574256DF"/>
    <w:rsid w:val="57545719"/>
    <w:rsid w:val="57747723"/>
    <w:rsid w:val="57920910"/>
    <w:rsid w:val="57A31909"/>
    <w:rsid w:val="57AE1163"/>
    <w:rsid w:val="57AE46DD"/>
    <w:rsid w:val="57B43A6A"/>
    <w:rsid w:val="57C30F50"/>
    <w:rsid w:val="57D03822"/>
    <w:rsid w:val="57D84E77"/>
    <w:rsid w:val="57E16521"/>
    <w:rsid w:val="57EA6CFD"/>
    <w:rsid w:val="57FB58B4"/>
    <w:rsid w:val="58095044"/>
    <w:rsid w:val="581034F1"/>
    <w:rsid w:val="581D3408"/>
    <w:rsid w:val="585411B7"/>
    <w:rsid w:val="58694912"/>
    <w:rsid w:val="58902A47"/>
    <w:rsid w:val="58AA5CE7"/>
    <w:rsid w:val="58B60383"/>
    <w:rsid w:val="58BA2AB5"/>
    <w:rsid w:val="58BC5E67"/>
    <w:rsid w:val="58F32E8B"/>
    <w:rsid w:val="59257E8F"/>
    <w:rsid w:val="593025F2"/>
    <w:rsid w:val="593254C7"/>
    <w:rsid w:val="593E21CD"/>
    <w:rsid w:val="599E3006"/>
    <w:rsid w:val="59A4771E"/>
    <w:rsid w:val="59A91F10"/>
    <w:rsid w:val="59FF4C81"/>
    <w:rsid w:val="5A1710B6"/>
    <w:rsid w:val="5A395F81"/>
    <w:rsid w:val="5A3A54BF"/>
    <w:rsid w:val="5A7C10BC"/>
    <w:rsid w:val="5A7E09A8"/>
    <w:rsid w:val="5B1A340D"/>
    <w:rsid w:val="5B1F529B"/>
    <w:rsid w:val="5B276BF2"/>
    <w:rsid w:val="5B2E5B85"/>
    <w:rsid w:val="5B453874"/>
    <w:rsid w:val="5B9638A3"/>
    <w:rsid w:val="5BAD6DB3"/>
    <w:rsid w:val="5BBD0F20"/>
    <w:rsid w:val="5BCB2957"/>
    <w:rsid w:val="5BE85605"/>
    <w:rsid w:val="5BEE6DC1"/>
    <w:rsid w:val="5C0B2C6E"/>
    <w:rsid w:val="5C165B2E"/>
    <w:rsid w:val="5C341B8A"/>
    <w:rsid w:val="5C3F5B74"/>
    <w:rsid w:val="5C66366D"/>
    <w:rsid w:val="5CB571A3"/>
    <w:rsid w:val="5CBD66FF"/>
    <w:rsid w:val="5CD22EC5"/>
    <w:rsid w:val="5CF5068E"/>
    <w:rsid w:val="5D084C43"/>
    <w:rsid w:val="5D187ECB"/>
    <w:rsid w:val="5DBD1760"/>
    <w:rsid w:val="5DBF1570"/>
    <w:rsid w:val="5DFC64A0"/>
    <w:rsid w:val="5E0B21C9"/>
    <w:rsid w:val="5E7B5D09"/>
    <w:rsid w:val="5E837CE0"/>
    <w:rsid w:val="5E916D1F"/>
    <w:rsid w:val="5ED26B78"/>
    <w:rsid w:val="5F077B11"/>
    <w:rsid w:val="5F537AF7"/>
    <w:rsid w:val="5FB64A01"/>
    <w:rsid w:val="5FDE1A21"/>
    <w:rsid w:val="5FE03FD9"/>
    <w:rsid w:val="60321004"/>
    <w:rsid w:val="60453440"/>
    <w:rsid w:val="60943925"/>
    <w:rsid w:val="60AC5BD8"/>
    <w:rsid w:val="60B9674C"/>
    <w:rsid w:val="60ED4F43"/>
    <w:rsid w:val="60F55C80"/>
    <w:rsid w:val="60FC4E5E"/>
    <w:rsid w:val="611E0398"/>
    <w:rsid w:val="6125418A"/>
    <w:rsid w:val="61B51C83"/>
    <w:rsid w:val="6232208F"/>
    <w:rsid w:val="62411B7A"/>
    <w:rsid w:val="6260587E"/>
    <w:rsid w:val="62630D32"/>
    <w:rsid w:val="628864E6"/>
    <w:rsid w:val="629F4A7C"/>
    <w:rsid w:val="62A92418"/>
    <w:rsid w:val="62A9482D"/>
    <w:rsid w:val="62B3017A"/>
    <w:rsid w:val="62B772E1"/>
    <w:rsid w:val="62B81253"/>
    <w:rsid w:val="62BD1874"/>
    <w:rsid w:val="62C065ED"/>
    <w:rsid w:val="62FA2A41"/>
    <w:rsid w:val="6305402E"/>
    <w:rsid w:val="63555723"/>
    <w:rsid w:val="635667C9"/>
    <w:rsid w:val="635C126B"/>
    <w:rsid w:val="636257E3"/>
    <w:rsid w:val="636456B7"/>
    <w:rsid w:val="63684CE3"/>
    <w:rsid w:val="637D270F"/>
    <w:rsid w:val="63A302CC"/>
    <w:rsid w:val="63F4547C"/>
    <w:rsid w:val="6405217D"/>
    <w:rsid w:val="641D2C13"/>
    <w:rsid w:val="64390065"/>
    <w:rsid w:val="6440430A"/>
    <w:rsid w:val="64407BEE"/>
    <w:rsid w:val="645D0EE9"/>
    <w:rsid w:val="64DE0355"/>
    <w:rsid w:val="64DE0435"/>
    <w:rsid w:val="65163A89"/>
    <w:rsid w:val="653A590C"/>
    <w:rsid w:val="655C33D0"/>
    <w:rsid w:val="656F39CC"/>
    <w:rsid w:val="6573494F"/>
    <w:rsid w:val="65E92647"/>
    <w:rsid w:val="66181D98"/>
    <w:rsid w:val="6638746F"/>
    <w:rsid w:val="664F44CE"/>
    <w:rsid w:val="66587584"/>
    <w:rsid w:val="666B4154"/>
    <w:rsid w:val="66703584"/>
    <w:rsid w:val="668F2734"/>
    <w:rsid w:val="66D967B9"/>
    <w:rsid w:val="66DB0D0D"/>
    <w:rsid w:val="66EC21EB"/>
    <w:rsid w:val="66FA60CB"/>
    <w:rsid w:val="67323E04"/>
    <w:rsid w:val="673A276A"/>
    <w:rsid w:val="67583A6E"/>
    <w:rsid w:val="67750422"/>
    <w:rsid w:val="67793CB2"/>
    <w:rsid w:val="679C635C"/>
    <w:rsid w:val="67A43654"/>
    <w:rsid w:val="67BF20FE"/>
    <w:rsid w:val="67D52F9D"/>
    <w:rsid w:val="67DE0CFF"/>
    <w:rsid w:val="683443F7"/>
    <w:rsid w:val="6842458A"/>
    <w:rsid w:val="685F51C2"/>
    <w:rsid w:val="689B2E31"/>
    <w:rsid w:val="68BD549B"/>
    <w:rsid w:val="68D27B95"/>
    <w:rsid w:val="68D3309A"/>
    <w:rsid w:val="68F46A99"/>
    <w:rsid w:val="691C1D40"/>
    <w:rsid w:val="692E047A"/>
    <w:rsid w:val="69431B61"/>
    <w:rsid w:val="697E32FB"/>
    <w:rsid w:val="698115DF"/>
    <w:rsid w:val="69997CDB"/>
    <w:rsid w:val="69A63588"/>
    <w:rsid w:val="69BB7ADD"/>
    <w:rsid w:val="6A224DE3"/>
    <w:rsid w:val="6A29045F"/>
    <w:rsid w:val="6A5C2C17"/>
    <w:rsid w:val="6A9E6275"/>
    <w:rsid w:val="6AA8139C"/>
    <w:rsid w:val="6AFC328A"/>
    <w:rsid w:val="6B05566F"/>
    <w:rsid w:val="6B165881"/>
    <w:rsid w:val="6B3D40F1"/>
    <w:rsid w:val="6BC15030"/>
    <w:rsid w:val="6BD1237C"/>
    <w:rsid w:val="6BFB093E"/>
    <w:rsid w:val="6C007878"/>
    <w:rsid w:val="6C4D7C95"/>
    <w:rsid w:val="6C542294"/>
    <w:rsid w:val="6C565A42"/>
    <w:rsid w:val="6C57301D"/>
    <w:rsid w:val="6C83248C"/>
    <w:rsid w:val="6CA401CB"/>
    <w:rsid w:val="6CDF7B47"/>
    <w:rsid w:val="6CF55266"/>
    <w:rsid w:val="6D93538D"/>
    <w:rsid w:val="6D9A3C2D"/>
    <w:rsid w:val="6DB81A54"/>
    <w:rsid w:val="6E3F0E7D"/>
    <w:rsid w:val="6E471000"/>
    <w:rsid w:val="6E6201D8"/>
    <w:rsid w:val="6E6C5DF4"/>
    <w:rsid w:val="6E904BD9"/>
    <w:rsid w:val="6E9945F7"/>
    <w:rsid w:val="6E9B24F1"/>
    <w:rsid w:val="6EA81368"/>
    <w:rsid w:val="6ECB5F46"/>
    <w:rsid w:val="6ED60263"/>
    <w:rsid w:val="6F112E2A"/>
    <w:rsid w:val="6F202639"/>
    <w:rsid w:val="6F243856"/>
    <w:rsid w:val="6F2738C5"/>
    <w:rsid w:val="6F470134"/>
    <w:rsid w:val="6F8627B2"/>
    <w:rsid w:val="6F8B5C2D"/>
    <w:rsid w:val="6FAF5E92"/>
    <w:rsid w:val="6FB04CA6"/>
    <w:rsid w:val="6FB80EB7"/>
    <w:rsid w:val="6FDB4521"/>
    <w:rsid w:val="700447AA"/>
    <w:rsid w:val="702B72EF"/>
    <w:rsid w:val="70513A4A"/>
    <w:rsid w:val="708031AE"/>
    <w:rsid w:val="70B569DB"/>
    <w:rsid w:val="70CE72E6"/>
    <w:rsid w:val="70D147A1"/>
    <w:rsid w:val="70DB52F7"/>
    <w:rsid w:val="70DF7424"/>
    <w:rsid w:val="710F7785"/>
    <w:rsid w:val="71152A96"/>
    <w:rsid w:val="713466E5"/>
    <w:rsid w:val="71805B81"/>
    <w:rsid w:val="71852E6B"/>
    <w:rsid w:val="71A36A8F"/>
    <w:rsid w:val="71AA1AE9"/>
    <w:rsid w:val="71BE6EF3"/>
    <w:rsid w:val="71F77683"/>
    <w:rsid w:val="71F97D12"/>
    <w:rsid w:val="72557C8D"/>
    <w:rsid w:val="729A397D"/>
    <w:rsid w:val="729C0620"/>
    <w:rsid w:val="72BB18D1"/>
    <w:rsid w:val="72BC0AD8"/>
    <w:rsid w:val="72C3272C"/>
    <w:rsid w:val="72ED3BE2"/>
    <w:rsid w:val="72F1503B"/>
    <w:rsid w:val="7338591C"/>
    <w:rsid w:val="73521019"/>
    <w:rsid w:val="7360393C"/>
    <w:rsid w:val="7362508E"/>
    <w:rsid w:val="73697269"/>
    <w:rsid w:val="738436DB"/>
    <w:rsid w:val="73AF4A2F"/>
    <w:rsid w:val="73B44ACE"/>
    <w:rsid w:val="73C61875"/>
    <w:rsid w:val="73DD70D4"/>
    <w:rsid w:val="74084D1C"/>
    <w:rsid w:val="74334604"/>
    <w:rsid w:val="743B0444"/>
    <w:rsid w:val="7512160A"/>
    <w:rsid w:val="75172735"/>
    <w:rsid w:val="75636E2A"/>
    <w:rsid w:val="75721991"/>
    <w:rsid w:val="757E34DA"/>
    <w:rsid w:val="759216A8"/>
    <w:rsid w:val="75A232A2"/>
    <w:rsid w:val="75CF0033"/>
    <w:rsid w:val="75E73CFE"/>
    <w:rsid w:val="75ED23F0"/>
    <w:rsid w:val="75F81FF3"/>
    <w:rsid w:val="75FB60B8"/>
    <w:rsid w:val="76336E4D"/>
    <w:rsid w:val="76B4184A"/>
    <w:rsid w:val="76DF7436"/>
    <w:rsid w:val="77014ABD"/>
    <w:rsid w:val="77086ABE"/>
    <w:rsid w:val="77117067"/>
    <w:rsid w:val="77274014"/>
    <w:rsid w:val="7733127D"/>
    <w:rsid w:val="77405D99"/>
    <w:rsid w:val="775326E1"/>
    <w:rsid w:val="77721756"/>
    <w:rsid w:val="778028E9"/>
    <w:rsid w:val="778C19D3"/>
    <w:rsid w:val="77C808BD"/>
    <w:rsid w:val="77E30E7F"/>
    <w:rsid w:val="77F12246"/>
    <w:rsid w:val="78094463"/>
    <w:rsid w:val="780D4A06"/>
    <w:rsid w:val="781775E9"/>
    <w:rsid w:val="78396059"/>
    <w:rsid w:val="78437ABD"/>
    <w:rsid w:val="784D123F"/>
    <w:rsid w:val="788B7E0B"/>
    <w:rsid w:val="789F7B03"/>
    <w:rsid w:val="78A448FB"/>
    <w:rsid w:val="78D41259"/>
    <w:rsid w:val="78DD50AE"/>
    <w:rsid w:val="78ED4A72"/>
    <w:rsid w:val="790703F6"/>
    <w:rsid w:val="792867FB"/>
    <w:rsid w:val="793E772C"/>
    <w:rsid w:val="793F0EF9"/>
    <w:rsid w:val="79561695"/>
    <w:rsid w:val="795C257A"/>
    <w:rsid w:val="7968258C"/>
    <w:rsid w:val="79732304"/>
    <w:rsid w:val="79BB18C1"/>
    <w:rsid w:val="79C955D6"/>
    <w:rsid w:val="79DD391E"/>
    <w:rsid w:val="7A182A43"/>
    <w:rsid w:val="7A50382E"/>
    <w:rsid w:val="7A73640F"/>
    <w:rsid w:val="7AAC4D87"/>
    <w:rsid w:val="7AC81B63"/>
    <w:rsid w:val="7AD45BED"/>
    <w:rsid w:val="7B04009E"/>
    <w:rsid w:val="7B0E22FF"/>
    <w:rsid w:val="7B110F5A"/>
    <w:rsid w:val="7B3A03C1"/>
    <w:rsid w:val="7B4F0A58"/>
    <w:rsid w:val="7B5B7436"/>
    <w:rsid w:val="7B6A5759"/>
    <w:rsid w:val="7B733313"/>
    <w:rsid w:val="7B76300F"/>
    <w:rsid w:val="7B8642B4"/>
    <w:rsid w:val="7BD73C77"/>
    <w:rsid w:val="7BE23DBD"/>
    <w:rsid w:val="7BF52894"/>
    <w:rsid w:val="7BF565C2"/>
    <w:rsid w:val="7C026CD1"/>
    <w:rsid w:val="7C0372C3"/>
    <w:rsid w:val="7C157106"/>
    <w:rsid w:val="7C550246"/>
    <w:rsid w:val="7C800EE4"/>
    <w:rsid w:val="7C934A2A"/>
    <w:rsid w:val="7C9A5670"/>
    <w:rsid w:val="7CB7604B"/>
    <w:rsid w:val="7CEF7DF5"/>
    <w:rsid w:val="7CF37F40"/>
    <w:rsid w:val="7CF960AA"/>
    <w:rsid w:val="7D0C6592"/>
    <w:rsid w:val="7D2E27DE"/>
    <w:rsid w:val="7D32197D"/>
    <w:rsid w:val="7D395295"/>
    <w:rsid w:val="7D3C7095"/>
    <w:rsid w:val="7D3D2D0A"/>
    <w:rsid w:val="7D6E2576"/>
    <w:rsid w:val="7D8B046F"/>
    <w:rsid w:val="7D9667EC"/>
    <w:rsid w:val="7DAD0E85"/>
    <w:rsid w:val="7DCD71FB"/>
    <w:rsid w:val="7DEC77B0"/>
    <w:rsid w:val="7DF358D1"/>
    <w:rsid w:val="7E025206"/>
    <w:rsid w:val="7E100027"/>
    <w:rsid w:val="7E1267C9"/>
    <w:rsid w:val="7E205397"/>
    <w:rsid w:val="7E540E82"/>
    <w:rsid w:val="7E680D26"/>
    <w:rsid w:val="7E895EEF"/>
    <w:rsid w:val="7E951F96"/>
    <w:rsid w:val="7EB938E1"/>
    <w:rsid w:val="7EDA4709"/>
    <w:rsid w:val="7EDC42A9"/>
    <w:rsid w:val="7EE85CDB"/>
    <w:rsid w:val="7EE86006"/>
    <w:rsid w:val="7F446443"/>
    <w:rsid w:val="7F471CDB"/>
    <w:rsid w:val="7F546156"/>
    <w:rsid w:val="7F554617"/>
    <w:rsid w:val="7F8004D8"/>
    <w:rsid w:val="7F8C3281"/>
    <w:rsid w:val="7FA16569"/>
    <w:rsid w:val="7FCF7A83"/>
    <w:rsid w:val="7FDA1B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60" w:after="360" w:line="480" w:lineRule="atLeast"/>
      <w:ind w:left="1923" w:hanging="1923"/>
      <w:jc w:val="center"/>
      <w:textAlignment w:val="baseline"/>
      <w:outlineLvl w:val="0"/>
    </w:pPr>
    <w:rPr>
      <w:rFonts w:ascii="Arial" w:eastAsia="仿宋_GB2312"/>
      <w:b/>
      <w:kern w:val="44"/>
      <w:sz w:val="52"/>
      <w:szCs w:val="20"/>
    </w:rPr>
  </w:style>
  <w:style w:type="paragraph" w:styleId="4">
    <w:name w:val="heading 2"/>
    <w:basedOn w:val="1"/>
    <w:next w:val="1"/>
    <w:qFormat/>
    <w:uiPriority w:val="0"/>
    <w:pPr>
      <w:keepNext/>
      <w:keepLines/>
      <w:adjustRightInd w:val="0"/>
      <w:spacing w:before="280" w:after="280" w:line="480" w:lineRule="atLeast"/>
      <w:ind w:left="1761" w:hanging="1761"/>
      <w:textAlignment w:val="baseline"/>
      <w:outlineLvl w:val="1"/>
    </w:pPr>
    <w:rPr>
      <w:rFonts w:ascii="Arial" w:hAnsi="Arial" w:eastAsia="黑体"/>
      <w:kern w:val="0"/>
      <w:sz w:val="44"/>
      <w:szCs w:val="20"/>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b/>
      <w:bCs/>
      <w:kern w:val="0"/>
      <w:sz w:val="27"/>
      <w:szCs w:val="27"/>
    </w:rPr>
  </w:style>
  <w:style w:type="paragraph" w:styleId="6">
    <w:name w:val="heading 4"/>
    <w:basedOn w:val="1"/>
    <w:next w:val="1"/>
    <w:qFormat/>
    <w:uiPriority w:val="0"/>
    <w:pPr>
      <w:adjustRightInd w:val="0"/>
      <w:spacing w:before="160" w:after="160" w:line="480" w:lineRule="atLeast"/>
      <w:ind w:left="640" w:hanging="640" w:hangingChars="200"/>
      <w:textAlignment w:val="baseline"/>
      <w:outlineLvl w:val="3"/>
    </w:pPr>
    <w:rPr>
      <w:rFonts w:ascii="Arial" w:hAnsi="Arial" w:eastAsia="黑体"/>
      <w:kern w:val="0"/>
      <w:sz w:val="32"/>
      <w:szCs w:val="20"/>
    </w:rPr>
  </w:style>
  <w:style w:type="paragraph" w:styleId="7">
    <w:name w:val="heading 5"/>
    <w:basedOn w:val="1"/>
    <w:next w:val="1"/>
    <w:qFormat/>
    <w:uiPriority w:val="0"/>
    <w:pPr>
      <w:keepNext/>
      <w:keepLines/>
      <w:adjustRightInd w:val="0"/>
      <w:spacing w:before="120" w:after="120" w:line="480" w:lineRule="atLeast"/>
      <w:ind w:left="375" w:hanging="375" w:hangingChars="125"/>
      <w:textAlignment w:val="baseline"/>
      <w:outlineLvl w:val="4"/>
    </w:pPr>
    <w:rPr>
      <w:rFonts w:eastAsia="楷体_GB2312"/>
      <w:b/>
      <w:kern w:val="0"/>
      <w:sz w:val="30"/>
      <w:szCs w:val="20"/>
    </w:rPr>
  </w:style>
  <w:style w:type="paragraph" w:styleId="8">
    <w:name w:val="heading 6"/>
    <w:basedOn w:val="2"/>
    <w:next w:val="1"/>
    <w:qFormat/>
    <w:uiPriority w:val="0"/>
    <w:pPr>
      <w:keepNext/>
      <w:keepLines/>
      <w:ind w:firstLine="200" w:firstLineChars="200"/>
      <w:outlineLvl w:val="5"/>
    </w:pPr>
    <w:rPr>
      <w:rFonts w:hAnsi="Arial"/>
    </w:rPr>
  </w:style>
  <w:style w:type="paragraph" w:styleId="9">
    <w:name w:val="heading 7"/>
    <w:basedOn w:val="1"/>
    <w:next w:val="1"/>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qFormat/>
    <w:uiPriority w:val="0"/>
    <w:pPr>
      <w:spacing w:after="120"/>
    </w:pPr>
  </w:style>
  <w:style w:type="paragraph" w:styleId="15">
    <w:name w:val="Body Text Indent"/>
    <w:basedOn w:val="1"/>
    <w:next w:val="16"/>
    <w:qFormat/>
    <w:uiPriority w:val="0"/>
    <w:pPr>
      <w:spacing w:line="360" w:lineRule="auto"/>
      <w:ind w:firstLine="420" w:firstLineChars="200"/>
    </w:pPr>
  </w:style>
  <w:style w:type="paragraph" w:styleId="16">
    <w:name w:val="Body Text Indent 2"/>
    <w:basedOn w:val="1"/>
    <w:next w:val="17"/>
    <w:qFormat/>
    <w:uiPriority w:val="0"/>
    <w:pPr>
      <w:autoSpaceDE w:val="0"/>
      <w:autoSpaceDN w:val="0"/>
      <w:adjustRightInd w:val="0"/>
      <w:spacing w:line="410" w:lineRule="atLeast"/>
      <w:ind w:left="480"/>
      <w:jc w:val="left"/>
    </w:pPr>
    <w:rPr>
      <w:rFonts w:ascii="宋体"/>
      <w:color w:val="000000"/>
    </w:rPr>
  </w:style>
  <w:style w:type="paragraph" w:customStyle="1" w:styleId="17">
    <w:name w:val="目录 71"/>
    <w:basedOn w:val="1"/>
    <w:next w:val="1"/>
    <w:qFormat/>
    <w:uiPriority w:val="0"/>
    <w:pPr>
      <w:ind w:left="2520"/>
    </w:pPr>
    <w:rPr>
      <w:rFonts w:hAnsi="宋体" w:cs="宋体"/>
      <w:kern w:val="0"/>
      <w:szCs w:val="20"/>
    </w:rPr>
  </w:style>
  <w:style w:type="paragraph" w:styleId="18">
    <w:name w:val="Block Text"/>
    <w:basedOn w:val="1"/>
    <w:qFormat/>
    <w:uiPriority w:val="0"/>
    <w:pPr>
      <w:spacing w:line="420" w:lineRule="exact"/>
      <w:ind w:left="900" w:right="-171" w:firstLine="780" w:firstLineChars="325"/>
    </w:pPr>
    <w:rPr>
      <w:sz w:val="24"/>
    </w:rPr>
  </w:style>
  <w:style w:type="paragraph" w:styleId="19">
    <w:name w:val="toc 3"/>
    <w:basedOn w:val="1"/>
    <w:next w:val="1"/>
    <w:qFormat/>
    <w:uiPriority w:val="39"/>
    <w:pPr>
      <w:ind w:left="420"/>
      <w:jc w:val="left"/>
    </w:pPr>
    <w:rPr>
      <w:i/>
      <w:iCs/>
      <w:sz w:val="20"/>
    </w:rPr>
  </w:style>
  <w:style w:type="paragraph" w:styleId="20">
    <w:name w:val="Plain Text"/>
    <w:basedOn w:val="1"/>
    <w:link w:val="44"/>
    <w:qFormat/>
    <w:uiPriority w:val="0"/>
    <w:rPr>
      <w:rFonts w:ascii="宋体" w:hAnsi="Courier New"/>
    </w:rPr>
  </w:style>
  <w:style w:type="paragraph" w:styleId="21">
    <w:name w:val="Date"/>
    <w:basedOn w:val="1"/>
    <w:next w:val="1"/>
    <w:qFormat/>
    <w:uiPriority w:val="0"/>
    <w:pPr>
      <w:ind w:left="100" w:leftChars="2500"/>
    </w:pPr>
  </w:style>
  <w:style w:type="paragraph" w:styleId="22">
    <w:name w:val="Balloon Text"/>
    <w:basedOn w:val="1"/>
    <w:qFormat/>
    <w:uiPriority w:val="0"/>
    <w:rPr>
      <w:sz w:val="18"/>
      <w:szCs w:val="18"/>
    </w:rPr>
  </w:style>
  <w:style w:type="paragraph" w:styleId="23">
    <w:name w:val="footer"/>
    <w:basedOn w:val="1"/>
    <w:link w:val="42"/>
    <w:qFormat/>
    <w:uiPriority w:val="99"/>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060"/>
      </w:tabs>
      <w:jc w:val="center"/>
    </w:pPr>
    <w:rPr>
      <w:sz w:val="40"/>
      <w:szCs w:val="40"/>
    </w:rPr>
  </w:style>
  <w:style w:type="paragraph" w:styleId="26">
    <w:name w:val="Subtitle"/>
    <w:basedOn w:val="1"/>
    <w:next w:val="1"/>
    <w:link w:val="43"/>
    <w:qFormat/>
    <w:uiPriority w:val="0"/>
    <w:pPr>
      <w:widowControl/>
      <w:spacing w:before="240" w:after="60" w:line="312" w:lineRule="auto"/>
      <w:jc w:val="center"/>
      <w:outlineLvl w:val="1"/>
    </w:pPr>
    <w:rPr>
      <w:rFonts w:ascii="Cambria" w:hAnsi="Cambria"/>
      <w:b/>
      <w:bCs/>
      <w:kern w:val="28"/>
      <w:sz w:val="32"/>
      <w:szCs w:val="32"/>
    </w:rPr>
  </w:style>
  <w:style w:type="paragraph" w:styleId="27">
    <w:name w:val="toc 2"/>
    <w:basedOn w:val="1"/>
    <w:next w:val="1"/>
    <w:qFormat/>
    <w:uiPriority w:val="39"/>
    <w:pPr>
      <w:ind w:left="210"/>
      <w:jc w:val="left"/>
    </w:pPr>
    <w:rPr>
      <w:smallCaps/>
      <w:sz w:val="20"/>
    </w:rPr>
  </w:style>
  <w:style w:type="paragraph" w:styleId="28">
    <w:name w:val="Body Text 2"/>
    <w:basedOn w:val="1"/>
    <w:qFormat/>
    <w:uiPriority w:val="0"/>
    <w:pPr>
      <w:spacing w:after="120" w:line="480" w:lineRule="auto"/>
    </w:p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qFormat/>
    <w:uiPriority w:val="0"/>
    <w:pPr>
      <w:spacing w:before="240" w:after="60"/>
      <w:jc w:val="center"/>
      <w:outlineLvl w:val="0"/>
    </w:pPr>
    <w:rPr>
      <w:rFonts w:ascii="Cambria" w:hAnsi="Cambria"/>
      <w:b/>
      <w:bCs/>
      <w:sz w:val="32"/>
      <w:szCs w:val="32"/>
    </w:rPr>
  </w:style>
  <w:style w:type="paragraph" w:styleId="31">
    <w:name w:val="annotation subject"/>
    <w:basedOn w:val="13"/>
    <w:next w:val="13"/>
    <w:qFormat/>
    <w:uiPriority w:val="0"/>
    <w:rPr>
      <w:b/>
      <w:bCs/>
    </w:rPr>
  </w:style>
  <w:style w:type="paragraph" w:styleId="32">
    <w:name w:val="Body Text First Indent 2"/>
    <w:basedOn w:val="15"/>
    <w:next w:val="1"/>
    <w:qFormat/>
    <w:uiPriority w:val="0"/>
    <w:pPr>
      <w:ind w:firstLine="420" w:firstLineChars="200"/>
    </w:pPr>
  </w:style>
  <w:style w:type="table" w:styleId="34">
    <w:name w:val="Table Grid"/>
    <w:basedOn w:val="3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szCs w:val="24"/>
    </w:rPr>
  </w:style>
  <w:style w:type="character" w:styleId="37">
    <w:name w:val="page number"/>
    <w:basedOn w:val="35"/>
    <w:qFormat/>
    <w:uiPriority w:val="0"/>
    <w:rPr>
      <w:szCs w:val="24"/>
    </w:rPr>
  </w:style>
  <w:style w:type="character" w:styleId="38">
    <w:name w:val="FollowedHyperlink"/>
    <w:qFormat/>
    <w:uiPriority w:val="0"/>
    <w:rPr>
      <w:color w:val="333333"/>
      <w:szCs w:val="24"/>
      <w:u w:val="none"/>
    </w:rPr>
  </w:style>
  <w:style w:type="character" w:styleId="39">
    <w:name w:val="Hyperlink"/>
    <w:qFormat/>
    <w:uiPriority w:val="99"/>
    <w:rPr>
      <w:color w:val="333333"/>
      <w:szCs w:val="24"/>
      <w:u w:val="none"/>
    </w:rPr>
  </w:style>
  <w:style w:type="character" w:styleId="40">
    <w:name w:val="annotation reference"/>
    <w:qFormat/>
    <w:uiPriority w:val="0"/>
    <w:rPr>
      <w:sz w:val="21"/>
      <w:szCs w:val="21"/>
    </w:rPr>
  </w:style>
  <w:style w:type="character" w:customStyle="1" w:styleId="41">
    <w:name w:val="javascript"/>
    <w:basedOn w:val="35"/>
    <w:qFormat/>
    <w:uiPriority w:val="0"/>
    <w:rPr>
      <w:szCs w:val="24"/>
    </w:rPr>
  </w:style>
  <w:style w:type="character" w:customStyle="1" w:styleId="42">
    <w:name w:val="页脚 字符"/>
    <w:link w:val="23"/>
    <w:qFormat/>
    <w:uiPriority w:val="99"/>
    <w:rPr>
      <w:kern w:val="2"/>
      <w:sz w:val="18"/>
      <w:szCs w:val="18"/>
    </w:rPr>
  </w:style>
  <w:style w:type="character" w:customStyle="1" w:styleId="43">
    <w:name w:val="副标题 字符"/>
    <w:link w:val="26"/>
    <w:qFormat/>
    <w:uiPriority w:val="0"/>
    <w:rPr>
      <w:rFonts w:ascii="Cambria" w:hAnsi="Cambria"/>
      <w:b/>
      <w:bCs/>
      <w:kern w:val="28"/>
      <w:sz w:val="32"/>
      <w:szCs w:val="32"/>
    </w:rPr>
  </w:style>
  <w:style w:type="character" w:customStyle="1" w:styleId="44">
    <w:name w:val="纯文本 字符"/>
    <w:link w:val="20"/>
    <w:qFormat/>
    <w:uiPriority w:val="0"/>
    <w:rPr>
      <w:rFonts w:ascii="宋体" w:hAnsi="Courier New" w:eastAsia="宋体"/>
      <w:kern w:val="2"/>
      <w:sz w:val="21"/>
      <w:szCs w:val="24"/>
      <w:lang w:val="en-US" w:eastAsia="zh-CN" w:bidi="ar-SA"/>
    </w:rPr>
  </w:style>
  <w:style w:type="character" w:customStyle="1" w:styleId="45">
    <w:name w:val="标题1 Char"/>
    <w:qFormat/>
    <w:uiPriority w:val="0"/>
    <w:rPr>
      <w:rFonts w:ascii="宋体" w:hAnsi="Courier New" w:eastAsia="宋体"/>
      <w:kern w:val="2"/>
      <w:sz w:val="21"/>
      <w:szCs w:val="24"/>
      <w:lang w:val="en-US" w:eastAsia="zh-CN" w:bidi="ar-SA"/>
    </w:rPr>
  </w:style>
  <w:style w:type="character" w:customStyle="1" w:styleId="46">
    <w:name w:val="font41"/>
    <w:qFormat/>
    <w:uiPriority w:val="0"/>
    <w:rPr>
      <w:rFonts w:hint="eastAsia" w:ascii="宋体" w:hAnsi="宋体" w:eastAsia="宋体" w:cs="宋体"/>
      <w:color w:val="000000"/>
      <w:sz w:val="16"/>
      <w:szCs w:val="16"/>
      <w:u w:val="none"/>
    </w:rPr>
  </w:style>
  <w:style w:type="character" w:customStyle="1" w:styleId="47">
    <w:name w:val="font11"/>
    <w:qFormat/>
    <w:uiPriority w:val="0"/>
    <w:rPr>
      <w:rFonts w:hint="default" w:ascii="Times New Roman" w:hAnsi="Times New Roman" w:cs="Times New Roman"/>
      <w:color w:val="000000"/>
      <w:sz w:val="18"/>
      <w:szCs w:val="18"/>
      <w:u w:val="none"/>
    </w:rPr>
  </w:style>
  <w:style w:type="character" w:customStyle="1" w:styleId="48">
    <w:name w:val="样式 标题 3 + (中文) 黑体 小四 非加粗 段前: 7.8 磅 段后: 0 磅 行距: 固定值 20 磅 Char Char"/>
    <w:link w:val="49"/>
    <w:qFormat/>
    <w:uiPriority w:val="0"/>
    <w:rPr>
      <w:rFonts w:eastAsia="黑体" w:cs="宋体"/>
      <w:kern w:val="2"/>
      <w:sz w:val="24"/>
      <w:lang w:val="en-US" w:eastAsia="zh-CN" w:bidi="ar-SA"/>
    </w:rPr>
  </w:style>
  <w:style w:type="paragraph" w:customStyle="1" w:styleId="49">
    <w:name w:val="样式 标题 3 + (中文) 黑体 小四 非加粗 段前: 7.8 磅 段后: 0 磅 行距: 固定值 20 磅"/>
    <w:basedOn w:val="5"/>
    <w:link w:val="48"/>
    <w:qFormat/>
    <w:uiPriority w:val="0"/>
    <w:pPr>
      <w:spacing w:before="0" w:after="0" w:line="400" w:lineRule="exact"/>
    </w:pPr>
    <w:rPr>
      <w:rFonts w:ascii="Times New Roman" w:hAnsi="Times New Roman" w:eastAsia="黑体" w:cs="宋体"/>
      <w:b w:val="0"/>
      <w:bCs w:val="0"/>
      <w:kern w:val="2"/>
      <w:sz w:val="24"/>
      <w:szCs w:val="20"/>
    </w:rPr>
  </w:style>
  <w:style w:type="character" w:customStyle="1" w:styleId="50">
    <w:name w:val="tpc_content1"/>
    <w:qFormat/>
    <w:uiPriority w:val="0"/>
    <w:rPr>
      <w:sz w:val="20"/>
      <w:szCs w:val="20"/>
    </w:rPr>
  </w:style>
  <w:style w:type="paragraph" w:customStyle="1" w:styleId="51">
    <w:name w:val="表中"/>
    <w:basedOn w:val="1"/>
    <w:qFormat/>
    <w:uiPriority w:val="0"/>
    <w:pPr>
      <w:adjustRightInd w:val="0"/>
      <w:spacing w:line="360" w:lineRule="atLeast"/>
      <w:jc w:val="center"/>
      <w:textAlignment w:val="baseline"/>
    </w:pPr>
    <w:rPr>
      <w:kern w:val="0"/>
    </w:rPr>
  </w:style>
  <w:style w:type="paragraph" w:customStyle="1" w:styleId="52">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3">
    <w:name w:val="Char1"/>
    <w:basedOn w:val="1"/>
    <w:qFormat/>
    <w:uiPriority w:val="0"/>
    <w:pPr>
      <w:widowControl/>
      <w:spacing w:after="160" w:line="240" w:lineRule="exact"/>
      <w:jc w:val="left"/>
    </w:pPr>
    <w:rPr>
      <w:szCs w:val="20"/>
    </w:rPr>
  </w:style>
  <w:style w:type="paragraph" w:customStyle="1" w:styleId="54">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
    <w:name w:val="简单回函地址"/>
    <w:basedOn w:val="1"/>
    <w:qFormat/>
    <w:uiPriority w:val="0"/>
    <w:rPr>
      <w:rFonts w:ascii="仿宋_GB2312" w:eastAsia="仿宋_GB2312"/>
      <w:kern w:val="0"/>
      <w:sz w:val="24"/>
      <w:szCs w:val="20"/>
    </w:rPr>
  </w:style>
  <w:style w:type="paragraph" w:customStyle="1" w:styleId="56">
    <w:name w:val="正文 New"/>
    <w:qFormat/>
    <w:uiPriority w:val="0"/>
    <w:pPr>
      <w:widowControl w:val="0"/>
      <w:spacing w:line="400" w:lineRule="exact"/>
      <w:jc w:val="both"/>
    </w:pPr>
    <w:rPr>
      <w:rFonts w:ascii="Times New Roman" w:hAnsi="Times New Roman" w:eastAsia="宋体" w:cs="Times New Roman"/>
      <w:kern w:val="2"/>
      <w:sz w:val="21"/>
      <w:szCs w:val="24"/>
      <w:lang w:val="en-US" w:eastAsia="zh-CN" w:bidi="ar-SA"/>
    </w:rPr>
  </w:style>
  <w:style w:type="paragraph" w:customStyle="1" w:styleId="57">
    <w:name w:val="目录文字"/>
    <w:basedOn w:val="1"/>
    <w:qFormat/>
    <w:uiPriority w:val="0"/>
    <w:pPr>
      <w:snapToGrid w:val="0"/>
    </w:pPr>
    <w:rPr>
      <w:rFonts w:ascii="宋体"/>
      <w:sz w:val="24"/>
      <w:szCs w:val="20"/>
    </w:rPr>
  </w:style>
  <w:style w:type="paragraph" w:customStyle="1" w:styleId="58">
    <w:name w:val="Char Char Char Char"/>
    <w:basedOn w:val="1"/>
    <w:qFormat/>
    <w:uiPriority w:val="0"/>
  </w:style>
  <w:style w:type="paragraph" w:customStyle="1" w:styleId="59">
    <w:name w:val="表格"/>
    <w:basedOn w:val="1"/>
    <w:qFormat/>
    <w:uiPriority w:val="0"/>
    <w:pPr>
      <w:jc w:val="center"/>
      <w:textAlignment w:val="center"/>
    </w:pPr>
    <w:rPr>
      <w:rFonts w:ascii="华文细黑" w:hAnsi="华文细黑"/>
      <w:kern w:val="0"/>
      <w:szCs w:val="20"/>
    </w:rPr>
  </w:style>
  <w:style w:type="paragraph" w:customStyle="1" w:styleId="60">
    <w:name w:val="页脚 New New New New New New New"/>
    <w:basedOn w:val="1"/>
    <w:qFormat/>
    <w:uiPriority w:val="0"/>
    <w:pPr>
      <w:widowControl/>
      <w:tabs>
        <w:tab w:val="center" w:pos="4153"/>
        <w:tab w:val="right" w:pos="8306"/>
      </w:tabs>
      <w:snapToGrid w:val="0"/>
      <w:jc w:val="left"/>
    </w:pPr>
    <w:rPr>
      <w:kern w:val="0"/>
      <w:sz w:val="18"/>
      <w:szCs w:val="20"/>
    </w:rPr>
  </w:style>
  <w:style w:type="paragraph" w:customStyle="1" w:styleId="61">
    <w:name w:val="Char"/>
    <w:basedOn w:val="1"/>
    <w:qFormat/>
    <w:uiPriority w:val="0"/>
  </w:style>
  <w:style w:type="paragraph" w:customStyle="1" w:styleId="62">
    <w:name w:val="2"/>
    <w:basedOn w:val="1"/>
    <w:qFormat/>
    <w:uiPriority w:val="0"/>
  </w:style>
  <w:style w:type="paragraph" w:customStyle="1" w:styleId="63">
    <w:name w:val="g_w_100 g_t_wrap g_t_center g_t_bold g_t_24 g_c_pdin c07"/>
    <w:basedOn w:val="1"/>
    <w:qFormat/>
    <w:uiPriority w:val="0"/>
    <w:pPr>
      <w:widowControl/>
      <w:spacing w:before="100" w:beforeAutospacing="1" w:after="100" w:afterAutospacing="1"/>
      <w:jc w:val="left"/>
    </w:pPr>
    <w:rPr>
      <w:rFonts w:ascii="宋体" w:hAnsi="宋体" w:cs="宋体"/>
      <w:kern w:val="0"/>
      <w:sz w:val="24"/>
    </w:rPr>
  </w:style>
  <w:style w:type="paragraph" w:styleId="64">
    <w:name w:val="List Paragraph"/>
    <w:basedOn w:val="1"/>
    <w:qFormat/>
    <w:uiPriority w:val="34"/>
    <w:pPr>
      <w:ind w:firstLine="420" w:firstLineChars="200"/>
    </w:pPr>
    <w:rPr>
      <w:rFonts w:ascii="Calibri" w:hAnsi="Calibri"/>
      <w:szCs w:val="22"/>
    </w:rPr>
  </w:style>
  <w:style w:type="paragraph" w:customStyle="1" w:styleId="65">
    <w:name w:val="正文文本缩进 21"/>
    <w:basedOn w:val="1"/>
    <w:qFormat/>
    <w:uiPriority w:val="0"/>
    <w:pPr>
      <w:adjustRightInd w:val="0"/>
      <w:spacing w:line="360" w:lineRule="auto"/>
      <w:ind w:right="1001" w:firstLine="525"/>
      <w:jc w:val="left"/>
      <w:textAlignment w:val="baseline"/>
    </w:pPr>
    <w:rPr>
      <w:sz w:val="24"/>
      <w:szCs w:val="20"/>
    </w:rPr>
  </w:style>
  <w:style w:type="paragraph" w:customStyle="1" w:styleId="66">
    <w:name w:val="Char1 Char Char Char Char Char Char"/>
    <w:basedOn w:val="1"/>
    <w:qFormat/>
    <w:uiPriority w:val="0"/>
  </w:style>
  <w:style w:type="character" w:customStyle="1" w:styleId="67">
    <w:name w:val="ca-161"/>
    <w:qFormat/>
    <w:uiPriority w:val="0"/>
    <w:rPr>
      <w:rFonts w:hint="eastAsia" w:ascii="宋体" w:hAnsi="宋体" w:eastAsia="宋体"/>
      <w:color w:val="000000"/>
      <w:sz w:val="24"/>
      <w:szCs w:val="24"/>
    </w:rPr>
  </w:style>
  <w:style w:type="paragraph" w:customStyle="1" w:styleId="68">
    <w:name w:val="Default"/>
    <w:qFormat/>
    <w:uiPriority w:val="0"/>
    <w:pPr>
      <w:widowControl w:val="0"/>
      <w:autoSpaceDE w:val="0"/>
      <w:autoSpaceDN w:val="0"/>
      <w:adjustRightInd w:val="0"/>
      <w:jc w:val="both"/>
    </w:pPr>
    <w:rPr>
      <w:rFonts w:ascii="宋体_x0007_.　璿.." w:eastAsia="宋体_x0007_.　璿.." w:cs="宋体_x0007_.　璿.." w:hAnsiTheme="minorHAnsi"/>
      <w:color w:val="000000"/>
      <w:sz w:val="24"/>
      <w:szCs w:val="24"/>
      <w:lang w:val="en-US" w:eastAsia="zh-CN" w:bidi="ar-SA"/>
    </w:rPr>
  </w:style>
  <w:style w:type="paragraph" w:customStyle="1" w:styleId="69">
    <w:name w:val="Other|1"/>
    <w:basedOn w:val="1"/>
    <w:qFormat/>
    <w:uiPriority w:val="0"/>
    <w:pPr>
      <w:widowControl w:val="0"/>
      <w:shd w:val="clear" w:color="auto" w:fill="auto"/>
    </w:pPr>
    <w:rPr>
      <w:rFonts w:ascii="宋体" w:hAnsi="宋体" w:eastAsia="宋体" w:cs="宋体"/>
      <w:sz w:val="32"/>
      <w:szCs w:val="32"/>
      <w:u w:val="none"/>
      <w:shd w:val="clear" w:color="auto" w:fill="auto"/>
      <w:lang w:val="zh-TW" w:eastAsia="zh-TW" w:bidi="zh-TW"/>
    </w:rPr>
  </w:style>
  <w:style w:type="paragraph" w:customStyle="1" w:styleId="7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2DD93-6AA9-4084-8E5F-69940310914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34</Pages>
  <Words>1805</Words>
  <Characters>10294</Characters>
  <Lines>85</Lines>
  <Paragraphs>24</Paragraphs>
  <TotalTime>22</TotalTime>
  <ScaleCrop>false</ScaleCrop>
  <LinksUpToDate>false</LinksUpToDate>
  <CharactersWithSpaces>12075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2019-07-24T06:56:00Z</dcterms:created>
  <dc:creator>hlp</dc:creator>
  <cp:lastModifiedBy>陈伟</cp:lastModifiedBy>
  <cp:lastPrinted>2022-06-29T07:48:00Z</cp:lastPrinted>
  <dcterms:modified xsi:type="dcterms:W3CDTF">2022-06-30T06:57:40Z</dcterms:modified>
  <dc:title>第二章  合同条件</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D96DDE6F7C5F49A0A58DBB148E36FB17</vt:lpwstr>
  </property>
</Properties>
</file>